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658D" w14:textId="77777777" w:rsidR="00E86123" w:rsidRDefault="00E86123" w:rsidP="00E86123">
      <w:pPr>
        <w:rPr>
          <w:b/>
          <w:bCs/>
        </w:rPr>
      </w:pPr>
      <w:r>
        <w:rPr>
          <w:b/>
          <w:bCs/>
        </w:rPr>
        <w:t>Construction and Design Law: Managing the Network of Interdependent Relationships</w:t>
      </w:r>
    </w:p>
    <w:p w14:paraId="64A19548" w14:textId="77777777" w:rsidR="00E86123" w:rsidRDefault="00E86123" w:rsidP="00E86123">
      <w:pPr>
        <w:jc w:val="center"/>
      </w:pPr>
      <w:r>
        <w:t>Carl J. Circo</w:t>
      </w:r>
    </w:p>
    <w:p w14:paraId="25E8DACD" w14:textId="77777777" w:rsidR="00E86123" w:rsidRDefault="00E86123" w:rsidP="00E86123">
      <w:pPr>
        <w:jc w:val="center"/>
        <w:rPr>
          <w:b/>
          <w:bCs/>
        </w:rPr>
      </w:pPr>
      <w:r>
        <w:rPr>
          <w:b/>
          <w:bCs/>
        </w:rPr>
        <w:t>Part 3</w:t>
      </w:r>
    </w:p>
    <w:p w14:paraId="7BD9199D" w14:textId="73A134E7" w:rsidR="00EF2B37" w:rsidRDefault="00E86123" w:rsidP="00E86123">
      <w:pPr>
        <w:keepNext/>
        <w:jc w:val="center"/>
        <w:rPr>
          <w:b/>
          <w:bCs/>
        </w:rPr>
      </w:pPr>
      <w:r w:rsidRPr="00F2305A">
        <w:rPr>
          <w:b/>
          <w:bCs/>
        </w:rPr>
        <w:t xml:space="preserve">Lesson </w:t>
      </w:r>
      <w:r>
        <w:rPr>
          <w:b/>
          <w:bCs/>
        </w:rPr>
        <w:t>2</w:t>
      </w:r>
      <w:r w:rsidR="009C6A04">
        <w:rPr>
          <w:b/>
          <w:bCs/>
        </w:rPr>
        <w:t>9</w:t>
      </w:r>
      <w:r w:rsidRPr="00F2305A">
        <w:rPr>
          <w:b/>
          <w:bCs/>
        </w:rPr>
        <w:t xml:space="preserve">: </w:t>
      </w:r>
      <w:r w:rsidR="009C6A04">
        <w:rPr>
          <w:b/>
          <w:bCs/>
        </w:rPr>
        <w:t>Sustainable Design and Construction</w:t>
      </w:r>
    </w:p>
    <w:p w14:paraId="7A6708B3" w14:textId="257240BC" w:rsidR="00F56A6A" w:rsidRDefault="006A420E" w:rsidP="00CC4839">
      <w:r>
        <w:tab/>
      </w:r>
      <w:r w:rsidR="002A51FB">
        <w:t>Standards</w:t>
      </w:r>
      <w:r w:rsidR="00395FB7">
        <w:t xml:space="preserve"> and practices for designing and constructin</w:t>
      </w:r>
      <w:r w:rsidR="00455C92">
        <w:t>g</w:t>
      </w:r>
      <w:r w:rsidR="00395FB7">
        <w:t xml:space="preserve"> e</w:t>
      </w:r>
      <w:r w:rsidR="00FC4A17">
        <w:t>nvironmentally s</w:t>
      </w:r>
      <w:r w:rsidR="00D069DD">
        <w:t xml:space="preserve">ustainable </w:t>
      </w:r>
      <w:r w:rsidR="00395FB7">
        <w:t xml:space="preserve">projects, </w:t>
      </w:r>
      <w:r w:rsidR="00CD2865">
        <w:t>often referred to as green building</w:t>
      </w:r>
      <w:r w:rsidR="00395FB7">
        <w:t>s,</w:t>
      </w:r>
      <w:r w:rsidR="00D069DD">
        <w:t xml:space="preserve"> </w:t>
      </w:r>
      <w:r w:rsidR="00D357C5">
        <w:t>increasingly</w:t>
      </w:r>
      <w:r w:rsidR="00485E46">
        <w:t xml:space="preserve"> </w:t>
      </w:r>
      <w:r w:rsidR="001B540C">
        <w:t>demand</w:t>
      </w:r>
      <w:r w:rsidR="00485E46">
        <w:t xml:space="preserve"> the attention of construction lawyers.</w:t>
      </w:r>
      <w:r w:rsidR="00D357C5">
        <w:t xml:space="preserve"> </w:t>
      </w:r>
      <w:r w:rsidR="00902285">
        <w:t xml:space="preserve">While the </w:t>
      </w:r>
      <w:r w:rsidR="002828DE">
        <w:t>standards</w:t>
      </w:r>
      <w:r w:rsidR="00902285">
        <w:t xml:space="preserve"> and practices </w:t>
      </w:r>
      <w:r w:rsidR="00485E46">
        <w:t xml:space="preserve">themselves </w:t>
      </w:r>
      <w:r w:rsidR="00902285">
        <w:t>involve</w:t>
      </w:r>
      <w:r w:rsidR="0075202C">
        <w:t xml:space="preserve"> </w:t>
      </w:r>
      <w:r w:rsidR="00D633BD">
        <w:t>scientific</w:t>
      </w:r>
      <w:r w:rsidR="00416074">
        <w:t xml:space="preserve"> and technolog</w:t>
      </w:r>
      <w:r w:rsidR="00D633BD">
        <w:t>ical expertise</w:t>
      </w:r>
      <w:r w:rsidR="0075202C">
        <w:t>, f</w:t>
      </w:r>
      <w:r w:rsidR="004810D2">
        <w:t xml:space="preserve">rom a construction law perspective, </w:t>
      </w:r>
      <w:r w:rsidR="00362873">
        <w:t>sustainability</w:t>
      </w:r>
      <w:r w:rsidR="00112650">
        <w:t xml:space="preserve"> also</w:t>
      </w:r>
      <w:r w:rsidR="00362873">
        <w:t xml:space="preserve"> </w:t>
      </w:r>
      <w:r w:rsidR="00D25ED7">
        <w:t>raises</w:t>
      </w:r>
      <w:r w:rsidR="009109E6">
        <w:t xml:space="preserve"> contract</w:t>
      </w:r>
      <w:r w:rsidR="001C5607">
        <w:t>ing challenges</w:t>
      </w:r>
      <w:r w:rsidR="00D25ED7">
        <w:t xml:space="preserve"> and</w:t>
      </w:r>
      <w:r w:rsidR="009109E6">
        <w:t xml:space="preserve"> </w:t>
      </w:r>
      <w:r w:rsidR="00611E38">
        <w:t xml:space="preserve">legal liability </w:t>
      </w:r>
      <w:r w:rsidR="00D25ED7">
        <w:t>concerns</w:t>
      </w:r>
      <w:r w:rsidR="000B79CE">
        <w:t>.</w:t>
      </w:r>
      <w:r w:rsidR="001E6BB2">
        <w:t xml:space="preserve"> </w:t>
      </w:r>
      <w:r w:rsidR="0027621A">
        <w:t>These legal</w:t>
      </w:r>
      <w:r w:rsidR="00292823">
        <w:t xml:space="preserve"> considerations have inspired a flurry of</w:t>
      </w:r>
      <w:r w:rsidR="00485E46">
        <w:t xml:space="preserve"> articles and commentary in academic and professional </w:t>
      </w:r>
      <w:r w:rsidR="00D229E0">
        <w:t>publications</w:t>
      </w:r>
      <w:r w:rsidR="00453BEB">
        <w:t>, a</w:t>
      </w:r>
      <w:r w:rsidR="00660968">
        <w:t>s well as</w:t>
      </w:r>
      <w:r w:rsidR="002B2D93">
        <w:t xml:space="preserve"> proposals for</w:t>
      </w:r>
      <w:r w:rsidR="00660968">
        <w:t xml:space="preserve"> contractual approaches</w:t>
      </w:r>
      <w:r w:rsidR="00485E46">
        <w:t>.</w:t>
      </w:r>
    </w:p>
    <w:p w14:paraId="2C1A4E6F" w14:textId="616844BC" w:rsidR="00FD43A1" w:rsidRDefault="00C975BC" w:rsidP="00CC4839">
      <w:r>
        <w:tab/>
        <w:t xml:space="preserve">This lesson begins </w:t>
      </w:r>
      <w:r w:rsidR="00D2691F">
        <w:t>by briefly noting</w:t>
      </w:r>
      <w:r w:rsidR="0071104A">
        <w:t xml:space="preserve"> </w:t>
      </w:r>
      <w:r w:rsidR="009E3821">
        <w:t>sustainable design and construction</w:t>
      </w:r>
      <w:r w:rsidR="007D1EBF">
        <w:t xml:space="preserve"> topics addressed in </w:t>
      </w:r>
      <w:r w:rsidR="005C1D13">
        <w:t>articles</w:t>
      </w:r>
      <w:r w:rsidR="00B82D34">
        <w:t xml:space="preserve"> written by construction lawyers</w:t>
      </w:r>
      <w:r w:rsidR="00724EC8">
        <w:t xml:space="preserve"> and academics</w:t>
      </w:r>
      <w:r w:rsidR="00B82D34">
        <w:t xml:space="preserve">. Next, it </w:t>
      </w:r>
      <w:r w:rsidR="0074475C">
        <w:t>considers</w:t>
      </w:r>
      <w:r w:rsidR="00746D64">
        <w:t xml:space="preserve"> selected topics </w:t>
      </w:r>
      <w:r w:rsidR="002126FE">
        <w:t>discussed</w:t>
      </w:r>
      <w:r w:rsidR="00746D64">
        <w:t xml:space="preserve"> in</w:t>
      </w:r>
      <w:r w:rsidR="00E46BCC">
        <w:t xml:space="preserve"> a</w:t>
      </w:r>
      <w:r w:rsidR="00F94A64">
        <w:t xml:space="preserve"> treatise</w:t>
      </w:r>
      <w:r w:rsidR="00900981">
        <w:t xml:space="preserve"> that</w:t>
      </w:r>
      <w:r w:rsidR="005F5D92">
        <w:t xml:space="preserve"> </w:t>
      </w:r>
      <w:r w:rsidR="00611488">
        <w:t xml:space="preserve">comprehensively </w:t>
      </w:r>
      <w:r w:rsidR="005F5D92">
        <w:t xml:space="preserve">covers this </w:t>
      </w:r>
      <w:r w:rsidR="00611488">
        <w:t xml:space="preserve">practice specialty. </w:t>
      </w:r>
      <w:r w:rsidR="00DE1349">
        <w:t>The lesson</w:t>
      </w:r>
      <w:r w:rsidR="00611488">
        <w:t xml:space="preserve"> concludes with </w:t>
      </w:r>
      <w:r w:rsidR="0044446D">
        <w:t>an overview</w:t>
      </w:r>
      <w:r w:rsidR="00E46BCC">
        <w:t xml:space="preserve"> of the American Institute of Architects</w:t>
      </w:r>
      <w:r w:rsidR="00B6058F">
        <w:t>’</w:t>
      </w:r>
      <w:r w:rsidR="00E46BCC">
        <w:t xml:space="preserve"> contractual framework</w:t>
      </w:r>
      <w:r w:rsidR="00F94A64">
        <w:t xml:space="preserve"> </w:t>
      </w:r>
      <w:r w:rsidR="00E46BCC">
        <w:t>for sustainable projects.</w:t>
      </w:r>
      <w:r w:rsidR="009E3821">
        <w:t xml:space="preserve"> </w:t>
      </w:r>
    </w:p>
    <w:p w14:paraId="6FE9A05E" w14:textId="444D22CC" w:rsidR="004B2870" w:rsidRPr="00FF6629" w:rsidRDefault="009D6985" w:rsidP="00CC4839">
      <w:pPr>
        <w:rPr>
          <w:i/>
          <w:iCs/>
        </w:rPr>
      </w:pPr>
      <w:r>
        <w:rPr>
          <w:i/>
          <w:iCs/>
        </w:rPr>
        <w:t>Journal Articles</w:t>
      </w:r>
    </w:p>
    <w:p w14:paraId="02845376" w14:textId="421BEDA2" w:rsidR="000D2DD6" w:rsidRDefault="00FD43A1" w:rsidP="00CC4839">
      <w:r>
        <w:tab/>
      </w:r>
      <w:r w:rsidR="000B79CE">
        <w:t>A</w:t>
      </w:r>
      <w:r w:rsidR="00DC518A">
        <w:t>rticles</w:t>
      </w:r>
      <w:r w:rsidR="00F502B3">
        <w:t xml:space="preserve"> </w:t>
      </w:r>
      <w:r w:rsidR="007043E4">
        <w:t xml:space="preserve">dating </w:t>
      </w:r>
      <w:r w:rsidR="007043E4" w:rsidRPr="00467F42">
        <w:t>from the 2000</w:t>
      </w:r>
      <w:r w:rsidR="00B346E9" w:rsidRPr="00467F42">
        <w:t>s</w:t>
      </w:r>
      <w:r w:rsidR="00595CA4">
        <w:t xml:space="preserve"> </w:t>
      </w:r>
      <w:r w:rsidR="00B346E9">
        <w:t xml:space="preserve">document </w:t>
      </w:r>
      <w:r w:rsidR="00CD457C">
        <w:t>the history of the sustainable construction movement</w:t>
      </w:r>
      <w:r w:rsidR="003F4F53">
        <w:t xml:space="preserve">. </w:t>
      </w:r>
      <w:r w:rsidR="00D40C24">
        <w:t xml:space="preserve">They demonstrate </w:t>
      </w:r>
      <w:r w:rsidR="00F47756">
        <w:t>the</w:t>
      </w:r>
      <w:r w:rsidR="00D40C24">
        <w:t xml:space="preserve"> </w:t>
      </w:r>
      <w:r w:rsidR="00FC399F">
        <w:t>wide range of legal considerations involved</w:t>
      </w:r>
      <w:r w:rsidR="003B3562">
        <w:t xml:space="preserve">, and they explore </w:t>
      </w:r>
      <w:r w:rsidR="00FC399F">
        <w:t xml:space="preserve">evolving </w:t>
      </w:r>
      <w:r w:rsidR="00957151">
        <w:t>risk management approaches</w:t>
      </w:r>
      <w:r w:rsidR="00B66139">
        <w:t>.</w:t>
      </w:r>
    </w:p>
    <w:p w14:paraId="353855B5" w14:textId="75D3BB83" w:rsidR="00E36661" w:rsidRDefault="00522570" w:rsidP="00CC4839">
      <w:r>
        <w:tab/>
      </w:r>
      <w:r w:rsidR="003F4F53">
        <w:t>Several articles</w:t>
      </w:r>
      <w:r w:rsidR="00E62023">
        <w:t xml:space="preserve"> </w:t>
      </w:r>
      <w:r w:rsidR="00D347F1">
        <w:t>provide guidance for negotiating and drafting design and construction contracts</w:t>
      </w:r>
      <w:r w:rsidR="00FE1F3B">
        <w:t xml:space="preserve"> for projects with sustainability objectives</w:t>
      </w:r>
      <w:r w:rsidR="00F74FFE">
        <w:t xml:space="preserve">. They </w:t>
      </w:r>
      <w:r w:rsidR="00C55871">
        <w:t xml:space="preserve">identify the many ways in which these projects require contracts tailored to the specific </w:t>
      </w:r>
      <w:r w:rsidR="00775B11">
        <w:t>goals of the project</w:t>
      </w:r>
      <w:r w:rsidR="00AA1A56">
        <w:t xml:space="preserve">. </w:t>
      </w:r>
      <w:r w:rsidR="00C15835">
        <w:t xml:space="preserve">Key </w:t>
      </w:r>
      <w:r w:rsidR="0049518F">
        <w:t xml:space="preserve">contracting </w:t>
      </w:r>
      <w:r w:rsidR="00C15835">
        <w:t>concerns in</w:t>
      </w:r>
      <w:r w:rsidR="0049518F">
        <w:t>volve defining scopes of services</w:t>
      </w:r>
      <w:r w:rsidR="00D11B91">
        <w:t xml:space="preserve">, </w:t>
      </w:r>
      <w:r w:rsidR="0049518F">
        <w:t>allocating responsibiliti</w:t>
      </w:r>
      <w:r w:rsidR="00D11B91">
        <w:t xml:space="preserve">es, </w:t>
      </w:r>
      <w:r w:rsidR="00134599">
        <w:t>anticipating</w:t>
      </w:r>
      <w:r w:rsidR="006B74EA">
        <w:t xml:space="preserve"> </w:t>
      </w:r>
      <w:r w:rsidR="000D09E6">
        <w:t>unique</w:t>
      </w:r>
      <w:r w:rsidR="006B74EA">
        <w:t xml:space="preserve"> risks </w:t>
      </w:r>
      <w:r w:rsidR="000D09E6">
        <w:t xml:space="preserve">associated with </w:t>
      </w:r>
      <w:r w:rsidR="006B74EA">
        <w:t>sustainable projects, an</w:t>
      </w:r>
      <w:r w:rsidR="00631862">
        <w:t xml:space="preserve">d </w:t>
      </w:r>
      <w:r w:rsidR="00134599">
        <w:t>managing</w:t>
      </w:r>
      <w:r w:rsidR="001054C3">
        <w:t xml:space="preserve"> claims and disputes.</w:t>
      </w:r>
      <w:r w:rsidR="00C15835">
        <w:t xml:space="preserve"> </w:t>
      </w:r>
      <w:r w:rsidR="00AA1A56">
        <w:t>S</w:t>
      </w:r>
      <w:r w:rsidR="00134599">
        <w:t>ome</w:t>
      </w:r>
      <w:r w:rsidR="00AA1A56">
        <w:t xml:space="preserve"> of these articles also</w:t>
      </w:r>
      <w:r w:rsidR="00A43091">
        <w:t xml:space="preserve"> </w:t>
      </w:r>
      <w:r w:rsidR="00AA1A56">
        <w:t xml:space="preserve">discuss </w:t>
      </w:r>
      <w:r w:rsidR="009D3AE9">
        <w:t>compliance with relevant</w:t>
      </w:r>
      <w:r w:rsidR="002C6E1D">
        <w:t xml:space="preserve"> </w:t>
      </w:r>
      <w:r w:rsidR="00ED0523">
        <w:t>building code</w:t>
      </w:r>
      <w:r w:rsidR="00020F38">
        <w:t>s</w:t>
      </w:r>
      <w:r w:rsidR="00550331">
        <w:t xml:space="preserve">, </w:t>
      </w:r>
      <w:r w:rsidR="00F7442E">
        <w:t>industry</w:t>
      </w:r>
      <w:r w:rsidR="00020F38">
        <w:t xml:space="preserve"> </w:t>
      </w:r>
      <w:r w:rsidR="002C6E1D">
        <w:t>standards</w:t>
      </w:r>
      <w:r w:rsidR="00550331">
        <w:t>,</w:t>
      </w:r>
      <w:r w:rsidR="002C6E1D">
        <w:t xml:space="preserve"> and </w:t>
      </w:r>
      <w:r w:rsidR="001B0B0F">
        <w:t xml:space="preserve">sustainable project rankings and </w:t>
      </w:r>
      <w:r w:rsidR="002C6E1D">
        <w:t>certificatio</w:t>
      </w:r>
      <w:r w:rsidR="00963588">
        <w:t>n</w:t>
      </w:r>
      <w:r w:rsidR="001B0B0F">
        <w:t>s</w:t>
      </w:r>
      <w:r w:rsidR="003B6A8B">
        <w:t>, such as the US Green Building Council’s LEED</w:t>
      </w:r>
      <w:r w:rsidR="00A44322">
        <w:t xml:space="preserve"> </w:t>
      </w:r>
      <w:r w:rsidR="00716CE0">
        <w:t>project</w:t>
      </w:r>
      <w:r w:rsidR="00512A75">
        <w:t xml:space="preserve"> </w:t>
      </w:r>
      <w:r w:rsidR="00C27B8D">
        <w:t>rating</w:t>
      </w:r>
      <w:r w:rsidR="00512A75">
        <w:t xml:space="preserve"> </w:t>
      </w:r>
      <w:r w:rsidR="00ED2E3E">
        <w:t>systems</w:t>
      </w:r>
      <w:r w:rsidR="00716CE0">
        <w:t xml:space="preserve"> and</w:t>
      </w:r>
      <w:r w:rsidR="00B96AEF">
        <w:t xml:space="preserve"> its</w:t>
      </w:r>
      <w:r w:rsidR="00716CE0">
        <w:t xml:space="preserve"> professional credentialling programs</w:t>
      </w:r>
      <w:r w:rsidR="001C078C">
        <w:t xml:space="preserve">. </w:t>
      </w:r>
      <w:r w:rsidR="001C078C">
        <w:rPr>
          <w:i/>
          <w:iCs/>
        </w:rPr>
        <w:t>See</w:t>
      </w:r>
      <w:r w:rsidR="00E21290">
        <w:rPr>
          <w:i/>
          <w:iCs/>
        </w:rPr>
        <w:t xml:space="preserve"> </w:t>
      </w:r>
      <w:r w:rsidR="00E21290" w:rsidRPr="009F40EC">
        <w:t xml:space="preserve">Adrian D'Arcy, </w:t>
      </w:r>
      <w:r w:rsidR="00E21290" w:rsidRPr="00152FA4">
        <w:rPr>
          <w:i/>
          <w:iCs/>
        </w:rPr>
        <w:t>Project Owners and the A</w:t>
      </w:r>
      <w:r w:rsidR="00E21290">
        <w:rPr>
          <w:i/>
          <w:iCs/>
        </w:rPr>
        <w:t>IA</w:t>
      </w:r>
      <w:r w:rsidR="00E21290" w:rsidRPr="00152FA4">
        <w:rPr>
          <w:i/>
          <w:iCs/>
        </w:rPr>
        <w:t>'s Sustainable Project Contract Documents</w:t>
      </w:r>
      <w:r w:rsidR="00E21290" w:rsidRPr="009F40EC">
        <w:t xml:space="preserve">, </w:t>
      </w:r>
      <w:r w:rsidR="00B65BD5">
        <w:t>37</w:t>
      </w:r>
      <w:r w:rsidR="00E21290">
        <w:t xml:space="preserve"> </w:t>
      </w:r>
      <w:r w:rsidR="00E21290" w:rsidRPr="009F40EC">
        <w:t>Constr. Law.</w:t>
      </w:r>
      <w:r w:rsidR="00E21290">
        <w:t xml:space="preserve"> 21</w:t>
      </w:r>
      <w:r w:rsidR="00E21290" w:rsidRPr="009F40EC">
        <w:t xml:space="preserve"> </w:t>
      </w:r>
      <w:r w:rsidR="00E21290">
        <w:t>(</w:t>
      </w:r>
      <w:r w:rsidR="00E21290" w:rsidRPr="009F40EC">
        <w:t>Winter 2017</w:t>
      </w:r>
      <w:r w:rsidR="00E21290">
        <w:t>)</w:t>
      </w:r>
      <w:r w:rsidR="002D3D90">
        <w:t>;</w:t>
      </w:r>
      <w:r w:rsidR="001C078C">
        <w:rPr>
          <w:i/>
          <w:iCs/>
        </w:rPr>
        <w:t xml:space="preserve"> </w:t>
      </w:r>
      <w:r w:rsidR="00171897" w:rsidRPr="00897961">
        <w:t xml:space="preserve">Edward B. Gentilcore, </w:t>
      </w:r>
      <w:r w:rsidR="00171897" w:rsidRPr="00646F0D">
        <w:rPr>
          <w:i/>
          <w:iCs/>
        </w:rPr>
        <w:t xml:space="preserve">Through the Green Looking Glass, Part </w:t>
      </w:r>
      <w:r w:rsidR="00171897">
        <w:rPr>
          <w:i/>
          <w:iCs/>
        </w:rPr>
        <w:t>I</w:t>
      </w:r>
      <w:r w:rsidR="00171897" w:rsidRPr="00646F0D">
        <w:rPr>
          <w:i/>
          <w:iCs/>
        </w:rPr>
        <w:t>: Pursuing Successful Green/</w:t>
      </w:r>
      <w:r w:rsidR="00171897">
        <w:rPr>
          <w:i/>
          <w:iCs/>
        </w:rPr>
        <w:t>S</w:t>
      </w:r>
      <w:r w:rsidR="00171897" w:rsidRPr="00646F0D">
        <w:rPr>
          <w:i/>
          <w:iCs/>
        </w:rPr>
        <w:t>ustainable Construction Without Falling into the Rabbit Hole</w:t>
      </w:r>
      <w:r w:rsidR="00171897" w:rsidRPr="00897961">
        <w:t xml:space="preserve">, </w:t>
      </w:r>
      <w:r w:rsidR="00247996">
        <w:t>33</w:t>
      </w:r>
      <w:r w:rsidR="00171897">
        <w:t xml:space="preserve"> </w:t>
      </w:r>
      <w:r w:rsidR="00171897" w:rsidRPr="00897961">
        <w:t>Constr. Law.</w:t>
      </w:r>
      <w:r w:rsidR="00171897">
        <w:t xml:space="preserve"> 39</w:t>
      </w:r>
      <w:r w:rsidR="00171897" w:rsidRPr="00897961">
        <w:t xml:space="preserve"> </w:t>
      </w:r>
      <w:r w:rsidR="00171897">
        <w:t>(</w:t>
      </w:r>
      <w:r w:rsidR="00171897" w:rsidRPr="00897961">
        <w:t>Winter 2013</w:t>
      </w:r>
      <w:r w:rsidR="00171897">
        <w:t xml:space="preserve">); </w:t>
      </w:r>
      <w:r w:rsidR="00171897" w:rsidRPr="00F95E6F">
        <w:t xml:space="preserve">Edward B. Gentilcore, </w:t>
      </w:r>
      <w:r w:rsidR="00171897" w:rsidRPr="00FF3C87">
        <w:rPr>
          <w:i/>
          <w:iCs/>
        </w:rPr>
        <w:t>Through the Green Looking Glass, Part II: Contractual Solutions to Avoid Falling into the Rabbit Hole</w:t>
      </w:r>
      <w:r w:rsidR="00171897" w:rsidRPr="00F95E6F">
        <w:t xml:space="preserve">, </w:t>
      </w:r>
      <w:r w:rsidR="00036E99">
        <w:t>33</w:t>
      </w:r>
      <w:r w:rsidR="00171897">
        <w:t xml:space="preserve"> </w:t>
      </w:r>
      <w:r w:rsidR="00171897" w:rsidRPr="00F95E6F">
        <w:t>Constr. Law.</w:t>
      </w:r>
      <w:r w:rsidR="00171897">
        <w:t xml:space="preserve"> 6</w:t>
      </w:r>
      <w:r w:rsidR="00171897" w:rsidRPr="00F95E6F">
        <w:t xml:space="preserve"> </w:t>
      </w:r>
      <w:r w:rsidR="00171897">
        <w:t>(</w:t>
      </w:r>
      <w:r w:rsidR="00171897" w:rsidRPr="00F95E6F">
        <w:t>Spring 2013</w:t>
      </w:r>
      <w:r w:rsidR="00171897">
        <w:t>)</w:t>
      </w:r>
      <w:r w:rsidR="005D7E8F">
        <w:t xml:space="preserve">; </w:t>
      </w:r>
      <w:r w:rsidR="00380646">
        <w:t xml:space="preserve">William J. McConnell &amp; Stephen A. Hess, </w:t>
      </w:r>
      <w:r w:rsidR="00380646" w:rsidRPr="00E46843">
        <w:rPr>
          <w:i/>
          <w:iCs/>
        </w:rPr>
        <w:t>Assessing Liability for Green Building Failures, Part I: The History, Development, and Status of Green Building Codes</w:t>
      </w:r>
      <w:r w:rsidR="00380646" w:rsidRPr="00B57285">
        <w:rPr>
          <w:b/>
          <w:bCs/>
        </w:rPr>
        <w:t xml:space="preserve">, </w:t>
      </w:r>
      <w:r w:rsidR="00380646" w:rsidRPr="00DB5DFF">
        <w:t xml:space="preserve">6 </w:t>
      </w:r>
      <w:r w:rsidR="004378C4" w:rsidRPr="00C7213D">
        <w:t>J</w:t>
      </w:r>
      <w:r w:rsidR="004378C4">
        <w:t>.</w:t>
      </w:r>
      <w:r w:rsidR="004378C4" w:rsidRPr="00C7213D">
        <w:t xml:space="preserve"> Am</w:t>
      </w:r>
      <w:r w:rsidR="004378C4">
        <w:t>.</w:t>
      </w:r>
      <w:r w:rsidR="004378C4" w:rsidRPr="00C7213D">
        <w:t xml:space="preserve"> Coll</w:t>
      </w:r>
      <w:r w:rsidR="004378C4">
        <w:t>.</w:t>
      </w:r>
      <w:r w:rsidR="004378C4" w:rsidRPr="00C7213D">
        <w:t xml:space="preserve"> Constr</w:t>
      </w:r>
      <w:r w:rsidR="004378C4">
        <w:t>.</w:t>
      </w:r>
      <w:r w:rsidR="004378C4" w:rsidRPr="00C7213D">
        <w:t xml:space="preserve"> Laws </w:t>
      </w:r>
      <w:r w:rsidR="00380646" w:rsidRPr="00CA6F2E">
        <w:t xml:space="preserve">2 </w:t>
      </w:r>
      <w:r w:rsidR="004E083D">
        <w:t xml:space="preserve"> </w:t>
      </w:r>
      <w:r w:rsidR="00380646" w:rsidRPr="00B57285">
        <w:t>(July 2012)</w:t>
      </w:r>
      <w:r w:rsidR="00380646">
        <w:t xml:space="preserve">; </w:t>
      </w:r>
      <w:r w:rsidR="005D7E8F" w:rsidRPr="005B7157">
        <w:t>Donna M. Crowe</w:t>
      </w:r>
      <w:r w:rsidR="005D7E8F">
        <w:t xml:space="preserve">, </w:t>
      </w:r>
      <w:r w:rsidR="005D7E8F" w:rsidRPr="005D7E8F">
        <w:rPr>
          <w:i/>
          <w:iCs/>
        </w:rPr>
        <w:t>For Green Building Issues, Call on Your Inner Green Lawyer</w:t>
      </w:r>
      <w:r w:rsidR="005D7E8F">
        <w:t xml:space="preserve">, </w:t>
      </w:r>
      <w:r w:rsidR="005D7E8F" w:rsidRPr="006B7851">
        <w:t xml:space="preserve">2 </w:t>
      </w:r>
      <w:r w:rsidR="00DF2A15" w:rsidRPr="00C7213D">
        <w:t>J</w:t>
      </w:r>
      <w:r w:rsidR="00DF2A15">
        <w:t>.</w:t>
      </w:r>
      <w:r w:rsidR="00DF2A15" w:rsidRPr="00C7213D">
        <w:t xml:space="preserve"> Am</w:t>
      </w:r>
      <w:r w:rsidR="00DF2A15">
        <w:t>.</w:t>
      </w:r>
      <w:r w:rsidR="00DF2A15" w:rsidRPr="00C7213D">
        <w:t xml:space="preserve"> Coll</w:t>
      </w:r>
      <w:r w:rsidR="00DF2A15">
        <w:t>.</w:t>
      </w:r>
      <w:r w:rsidR="00DF2A15" w:rsidRPr="00C7213D">
        <w:t xml:space="preserve"> Constr</w:t>
      </w:r>
      <w:r w:rsidR="00DF2A15">
        <w:t>.</w:t>
      </w:r>
      <w:r w:rsidR="00DF2A15" w:rsidRPr="00C7213D">
        <w:t xml:space="preserve"> Laws</w:t>
      </w:r>
      <w:r w:rsidR="005D7E8F" w:rsidRPr="006B7851">
        <w:t xml:space="preserve"> </w:t>
      </w:r>
      <w:r w:rsidR="005D7E8F" w:rsidRPr="00CA6F2E">
        <w:t>4</w:t>
      </w:r>
      <w:r w:rsidR="00791C61" w:rsidRPr="00CA6F2E">
        <w:t xml:space="preserve"> (</w:t>
      </w:r>
      <w:r w:rsidR="0006377C">
        <w:t>No. 2 2008</w:t>
      </w:r>
      <w:r w:rsidR="00791C61">
        <w:t>)</w:t>
      </w:r>
      <w:r w:rsidR="00171897">
        <w:t>.</w:t>
      </w:r>
    </w:p>
    <w:p w14:paraId="5838F6FF" w14:textId="050476ED" w:rsidR="00A330AA" w:rsidRDefault="00E36661" w:rsidP="00CC4839">
      <w:r>
        <w:lastRenderedPageBreak/>
        <w:tab/>
      </w:r>
      <w:r w:rsidR="00E87309">
        <w:t>Other</w:t>
      </w:r>
      <w:r w:rsidR="00C921E0">
        <w:t xml:space="preserve"> </w:t>
      </w:r>
      <w:r>
        <w:t xml:space="preserve">articles </w:t>
      </w:r>
      <w:r w:rsidR="00C21BAE">
        <w:t xml:space="preserve">primarily </w:t>
      </w:r>
      <w:r w:rsidR="00096075">
        <w:t>focus on</w:t>
      </w:r>
      <w:r w:rsidR="00747C7F">
        <w:t xml:space="preserve"> </w:t>
      </w:r>
      <w:r w:rsidR="0085006C">
        <w:t>liability</w:t>
      </w:r>
      <w:r w:rsidR="003F5E52">
        <w:t xml:space="preserve"> risks</w:t>
      </w:r>
      <w:r w:rsidR="00C921E0">
        <w:t xml:space="preserve"> associated with sustainable design and construction</w:t>
      </w:r>
      <w:r w:rsidR="00462A63">
        <w:t>.</w:t>
      </w:r>
      <w:r w:rsidR="00612FEA">
        <w:t xml:space="preserve"> These articles</w:t>
      </w:r>
      <w:r w:rsidR="008C167F" w:rsidRPr="008C167F">
        <w:t xml:space="preserve"> </w:t>
      </w:r>
      <w:r w:rsidR="008C167F">
        <w:t>explore evolving standards of care</w:t>
      </w:r>
      <w:r w:rsidR="00C20A2D">
        <w:t>, and they</w:t>
      </w:r>
      <w:r w:rsidR="00612FEA">
        <w:t xml:space="preserve"> </w:t>
      </w:r>
      <w:r w:rsidR="00F8373F">
        <w:t xml:space="preserve">alert lawyers to a range of potential </w:t>
      </w:r>
      <w:r w:rsidR="00443C4D">
        <w:t>theories of liability and defense</w:t>
      </w:r>
      <w:r w:rsidR="007534A9">
        <w:t>s</w:t>
      </w:r>
      <w:r w:rsidR="00443C4D">
        <w:t xml:space="preserve"> </w:t>
      </w:r>
      <w:r w:rsidR="001B0EA8">
        <w:t>relevant to potential claims</w:t>
      </w:r>
      <w:r w:rsidR="00C20A2D">
        <w:t xml:space="preserve"> that participants in projects with sustainability goals</w:t>
      </w:r>
      <w:r w:rsidR="001B0EA8">
        <w:t xml:space="preserve"> </w:t>
      </w:r>
      <w:r w:rsidR="00C20A2D">
        <w:t xml:space="preserve">may face </w:t>
      </w:r>
      <w:r w:rsidR="001B0EA8">
        <w:t>when disputes arise</w:t>
      </w:r>
      <w:r w:rsidR="00491EAC">
        <w:t>.</w:t>
      </w:r>
      <w:r w:rsidR="008C167F">
        <w:t xml:space="preserve"> </w:t>
      </w:r>
      <w:r w:rsidR="00491EAC">
        <w:rPr>
          <w:i/>
          <w:iCs/>
        </w:rPr>
        <w:t xml:space="preserve">See </w:t>
      </w:r>
      <w:r w:rsidR="00686215">
        <w:t xml:space="preserve">Patrick J. O’Connor, Jr., </w:t>
      </w:r>
      <w:r w:rsidR="00686215" w:rsidRPr="00717E80">
        <w:rPr>
          <w:i/>
          <w:iCs/>
        </w:rPr>
        <w:t>Legal Considerations in Sustainable Design and Construction</w:t>
      </w:r>
      <w:r w:rsidR="00686215">
        <w:t xml:space="preserve">, </w:t>
      </w:r>
      <w:r w:rsidR="00686215" w:rsidRPr="00C7213D">
        <w:t>5 J</w:t>
      </w:r>
      <w:r w:rsidR="00E4135C">
        <w:t>.</w:t>
      </w:r>
      <w:r w:rsidR="00686215" w:rsidRPr="00C7213D">
        <w:t xml:space="preserve"> Am</w:t>
      </w:r>
      <w:r w:rsidR="00E4135C">
        <w:t>.</w:t>
      </w:r>
      <w:r w:rsidR="00686215" w:rsidRPr="00C7213D">
        <w:t xml:space="preserve"> Coll</w:t>
      </w:r>
      <w:r w:rsidR="00E4135C">
        <w:t>.</w:t>
      </w:r>
      <w:r w:rsidR="00686215" w:rsidRPr="00C7213D">
        <w:t xml:space="preserve"> Constr</w:t>
      </w:r>
      <w:r w:rsidR="00E4135C">
        <w:t>.</w:t>
      </w:r>
      <w:r w:rsidR="00686215" w:rsidRPr="00C7213D">
        <w:t xml:space="preserve"> Laws </w:t>
      </w:r>
      <w:r w:rsidR="00686215" w:rsidRPr="00E4135C">
        <w:t>4</w:t>
      </w:r>
      <w:r w:rsidR="00A9232E" w:rsidRPr="00E4135C">
        <w:t xml:space="preserve"> </w:t>
      </w:r>
      <w:r w:rsidR="00686215">
        <w:t xml:space="preserve"> </w:t>
      </w:r>
      <w:r w:rsidR="001E285C">
        <w:t>(</w:t>
      </w:r>
      <w:r w:rsidR="00A9232E">
        <w:t>No. 1 2011</w:t>
      </w:r>
      <w:r w:rsidR="001E285C">
        <w:t>)</w:t>
      </w:r>
      <w:r w:rsidR="00686215">
        <w:t>;</w:t>
      </w:r>
      <w:r w:rsidR="004C6ADC">
        <w:t xml:space="preserve"> Stephen A. Hess &amp; William J. McConnell,</w:t>
      </w:r>
      <w:r w:rsidR="0002550D">
        <w:t xml:space="preserve"> </w:t>
      </w:r>
      <w:r w:rsidR="000A238F" w:rsidRPr="00C134B4">
        <w:rPr>
          <w:i/>
          <w:iCs/>
        </w:rPr>
        <w:t>Assessing Liability for Green Building Failures, Part II: How Claims of Green Building Failures Fare Under Common Law Doctrines</w:t>
      </w:r>
      <w:r w:rsidR="000A238F">
        <w:t xml:space="preserve">, </w:t>
      </w:r>
      <w:r w:rsidR="009E03CC" w:rsidRPr="00FF118A">
        <w:t xml:space="preserve">7 </w:t>
      </w:r>
      <w:r w:rsidR="000D5EFF" w:rsidRPr="00C7213D">
        <w:t>J</w:t>
      </w:r>
      <w:r w:rsidR="000D5EFF">
        <w:t>.</w:t>
      </w:r>
      <w:r w:rsidR="000D5EFF" w:rsidRPr="00C7213D">
        <w:t xml:space="preserve"> Am</w:t>
      </w:r>
      <w:r w:rsidR="000D5EFF">
        <w:t>.</w:t>
      </w:r>
      <w:r w:rsidR="000D5EFF" w:rsidRPr="00C7213D">
        <w:t xml:space="preserve"> Coll</w:t>
      </w:r>
      <w:r w:rsidR="000D5EFF">
        <w:t>.</w:t>
      </w:r>
      <w:r w:rsidR="000D5EFF" w:rsidRPr="00C7213D">
        <w:t xml:space="preserve"> Constr</w:t>
      </w:r>
      <w:r w:rsidR="000D5EFF">
        <w:t>.</w:t>
      </w:r>
      <w:r w:rsidR="000D5EFF" w:rsidRPr="00C7213D">
        <w:t xml:space="preserve"> Laws</w:t>
      </w:r>
      <w:r w:rsidR="009E03CC" w:rsidRPr="00FF118A">
        <w:t xml:space="preserve"> 3</w:t>
      </w:r>
      <w:r w:rsidR="009E03CC">
        <w:t xml:space="preserve"> (August 2013);</w:t>
      </w:r>
      <w:r w:rsidR="00851332">
        <w:t xml:space="preserve"> </w:t>
      </w:r>
      <w:r w:rsidR="00CD4146">
        <w:t xml:space="preserve">Kimberly A. Hurtado, </w:t>
      </w:r>
      <w:r w:rsidR="00CD4146" w:rsidRPr="008C1C7A">
        <w:rPr>
          <w:i/>
          <w:iCs/>
        </w:rPr>
        <w:t>Emerging Standards of Care for Sustainable Design &amp; Construction</w:t>
      </w:r>
      <w:r w:rsidR="00CD4146">
        <w:rPr>
          <w:i/>
          <w:iCs/>
        </w:rPr>
        <w:t xml:space="preserve">, </w:t>
      </w:r>
      <w:r w:rsidR="00CD4146" w:rsidRPr="004E75F5">
        <w:t xml:space="preserve">5 </w:t>
      </w:r>
      <w:r w:rsidR="00FA770F" w:rsidRPr="00C7213D">
        <w:t>J</w:t>
      </w:r>
      <w:r w:rsidR="00FA770F">
        <w:t>.</w:t>
      </w:r>
      <w:r w:rsidR="00FA770F" w:rsidRPr="00C7213D">
        <w:t xml:space="preserve"> Am</w:t>
      </w:r>
      <w:r w:rsidR="00FA770F">
        <w:t>.</w:t>
      </w:r>
      <w:r w:rsidR="00FA770F" w:rsidRPr="00C7213D">
        <w:t xml:space="preserve"> Coll</w:t>
      </w:r>
      <w:r w:rsidR="00FA770F">
        <w:t>.</w:t>
      </w:r>
      <w:r w:rsidR="00FA770F" w:rsidRPr="00C7213D">
        <w:t xml:space="preserve"> Constr</w:t>
      </w:r>
      <w:r w:rsidR="00FA770F">
        <w:t>.</w:t>
      </w:r>
      <w:r w:rsidR="00FA770F" w:rsidRPr="00C7213D">
        <w:t xml:space="preserve"> Laws</w:t>
      </w:r>
      <w:r w:rsidR="00CD4146" w:rsidRPr="004E75F5">
        <w:t xml:space="preserve"> </w:t>
      </w:r>
      <w:r w:rsidR="00CD4146" w:rsidRPr="00467F42">
        <w:t xml:space="preserve">5 </w:t>
      </w:r>
      <w:r w:rsidR="00E97D76">
        <w:t xml:space="preserve"> </w:t>
      </w:r>
      <w:r w:rsidR="000D5EFF">
        <w:t>(</w:t>
      </w:r>
      <w:r w:rsidR="00985F4F">
        <w:t>No.1 2011</w:t>
      </w:r>
      <w:r w:rsidR="000D5EFF">
        <w:t>)</w:t>
      </w:r>
      <w:r w:rsidR="00E508A9">
        <w:t xml:space="preserve">; </w:t>
      </w:r>
      <w:r w:rsidR="00891A10" w:rsidRPr="0058739A">
        <w:t>Ujjval K. Vyas</w:t>
      </w:r>
      <w:r w:rsidR="00891A10">
        <w:t xml:space="preserve"> &amp;</w:t>
      </w:r>
      <w:r w:rsidR="00891A10" w:rsidRPr="0058739A">
        <w:t xml:space="preserve"> Edward B. Gentilcore, </w:t>
      </w:r>
      <w:r w:rsidR="00891A10" w:rsidRPr="00891A10">
        <w:rPr>
          <w:i/>
          <w:iCs/>
        </w:rPr>
        <w:t>Growing Demand for Green Construction Requires Legal Evolution</w:t>
      </w:r>
      <w:r w:rsidR="00891A10" w:rsidRPr="0058739A">
        <w:t xml:space="preserve">, </w:t>
      </w:r>
      <w:r w:rsidR="00644EFE">
        <w:t>30</w:t>
      </w:r>
      <w:r w:rsidR="00891A10">
        <w:t xml:space="preserve"> </w:t>
      </w:r>
      <w:r w:rsidR="00891A10" w:rsidRPr="0058739A">
        <w:t>Constr. Law.</w:t>
      </w:r>
      <w:r w:rsidR="00891A10">
        <w:t xml:space="preserve"> 10</w:t>
      </w:r>
      <w:r w:rsidR="00891A10" w:rsidRPr="0058739A">
        <w:t xml:space="preserve"> </w:t>
      </w:r>
      <w:r w:rsidR="00891A10">
        <w:t>(</w:t>
      </w:r>
      <w:r w:rsidR="00891A10" w:rsidRPr="0058739A">
        <w:t>Summer 2010</w:t>
      </w:r>
      <w:r w:rsidR="00891A10">
        <w:t>).</w:t>
      </w:r>
    </w:p>
    <w:p w14:paraId="696706DB" w14:textId="2FA700DB" w:rsidR="006A420E" w:rsidRDefault="00A330AA" w:rsidP="00CC4839">
      <w:r>
        <w:tab/>
      </w:r>
      <w:r w:rsidR="00CC4839">
        <w:t>S</w:t>
      </w:r>
      <w:r w:rsidR="00DB504C">
        <w:t>till other</w:t>
      </w:r>
      <w:r>
        <w:t xml:space="preserve"> articles</w:t>
      </w:r>
      <w:r w:rsidR="00337CB2">
        <w:t xml:space="preserve"> </w:t>
      </w:r>
      <w:r w:rsidR="0076785A">
        <w:t>examine</w:t>
      </w:r>
      <w:r w:rsidR="004A0C14">
        <w:t xml:space="preserve"> and critique</w:t>
      </w:r>
      <w:r w:rsidR="0076785A">
        <w:t xml:space="preserve"> </w:t>
      </w:r>
      <w:r w:rsidR="003546E3">
        <w:t xml:space="preserve">legal aspects of </w:t>
      </w:r>
      <w:r w:rsidR="00051EDA">
        <w:t>sustainable design and construction practices</w:t>
      </w:r>
      <w:r w:rsidR="004A0C14">
        <w:t xml:space="preserve"> </w:t>
      </w:r>
      <w:r w:rsidR="002B1C27">
        <w:t>in</w:t>
      </w:r>
      <w:r w:rsidR="00405884">
        <w:t xml:space="preserve"> discrete</w:t>
      </w:r>
      <w:r w:rsidR="002B1C27">
        <w:t xml:space="preserve"> circumstances. Distinct legal considerations</w:t>
      </w:r>
      <w:r w:rsidR="00D433CD">
        <w:t xml:space="preserve"> may</w:t>
      </w:r>
      <w:r w:rsidR="002B1C27">
        <w:t xml:space="preserve"> apply</w:t>
      </w:r>
      <w:r w:rsidR="002C2D4B">
        <w:t xml:space="preserve"> </w:t>
      </w:r>
      <w:r w:rsidR="00FF28FF">
        <w:t>t</w:t>
      </w:r>
      <w:r w:rsidR="007534A9">
        <w:t>o</w:t>
      </w:r>
      <w:r w:rsidR="002C2D4B">
        <w:t xml:space="preserve"> specific market segments or </w:t>
      </w:r>
      <w:r w:rsidR="00B738DA">
        <w:t xml:space="preserve">may vary </w:t>
      </w:r>
      <w:r w:rsidR="002C2D4B">
        <w:t>based</w:t>
      </w:r>
      <w:r w:rsidR="00D433CD">
        <w:t xml:space="preserve"> on </w:t>
      </w:r>
      <w:r w:rsidR="002F09BB">
        <w:t>a</w:t>
      </w:r>
      <w:r w:rsidR="00D433CD">
        <w:t xml:space="preserve"> project’s </w:t>
      </w:r>
      <w:r w:rsidR="002F09BB">
        <w:t xml:space="preserve">defined </w:t>
      </w:r>
      <w:r w:rsidR="00F51884">
        <w:t>sustainability goals or measures</w:t>
      </w:r>
      <w:r w:rsidR="00051EDA">
        <w:t xml:space="preserve">. </w:t>
      </w:r>
      <w:r w:rsidR="00051EDA">
        <w:rPr>
          <w:i/>
        </w:rPr>
        <w:t xml:space="preserve">See </w:t>
      </w:r>
      <w:r w:rsidR="0044568D" w:rsidRPr="008B4F0F">
        <w:t xml:space="preserve">Keemiya Pourmonir, </w:t>
      </w:r>
      <w:r w:rsidR="0044568D" w:rsidRPr="0044568D">
        <w:rPr>
          <w:i/>
          <w:iCs/>
        </w:rPr>
        <w:t>Are Net-Zero Pledges Red Herrings to Escape Meaningful Decarbonization?</w:t>
      </w:r>
      <w:r w:rsidR="0044568D" w:rsidRPr="008B4F0F">
        <w:t xml:space="preserve">, </w:t>
      </w:r>
      <w:r w:rsidR="006D5125">
        <w:t>44</w:t>
      </w:r>
      <w:r w:rsidR="0044568D">
        <w:t xml:space="preserve"> </w:t>
      </w:r>
      <w:r w:rsidR="0044568D" w:rsidRPr="008B4F0F">
        <w:t>Constr. Law.</w:t>
      </w:r>
      <w:r w:rsidR="0044568D">
        <w:t xml:space="preserve"> 43</w:t>
      </w:r>
      <w:r w:rsidR="0044568D" w:rsidRPr="008B4F0F">
        <w:t xml:space="preserve"> </w:t>
      </w:r>
      <w:r w:rsidR="0044568D">
        <w:t>(</w:t>
      </w:r>
      <w:r w:rsidR="0044568D" w:rsidRPr="008B4F0F">
        <w:t>Winter 2025</w:t>
      </w:r>
      <w:r w:rsidR="0044568D">
        <w:t>)</w:t>
      </w:r>
      <w:r w:rsidR="00405884">
        <w:t xml:space="preserve">; </w:t>
      </w:r>
      <w:r w:rsidR="00D40151" w:rsidRPr="00576845">
        <w:t xml:space="preserve">Brendan Hennessey, Amanda Schermer MacVey, </w:t>
      </w:r>
      <w:r w:rsidR="00D40151">
        <w:t xml:space="preserve">&amp; </w:t>
      </w:r>
      <w:r w:rsidR="00D40151" w:rsidRPr="00576845">
        <w:t xml:space="preserve">Laszlo von Lazar, </w:t>
      </w:r>
      <w:r w:rsidR="00D40151" w:rsidRPr="00D40151">
        <w:rPr>
          <w:i/>
          <w:iCs/>
        </w:rPr>
        <w:t>Getting to Net-Zero: How Climate Change Initiatives Are Changing Business in the Infrastructure Sector</w:t>
      </w:r>
      <w:r w:rsidR="00D40151" w:rsidRPr="00576845">
        <w:t xml:space="preserve">, </w:t>
      </w:r>
      <w:r w:rsidR="00131699">
        <w:t>43</w:t>
      </w:r>
      <w:r w:rsidR="00D40151">
        <w:t xml:space="preserve"> </w:t>
      </w:r>
      <w:r w:rsidR="00D40151" w:rsidRPr="00576845">
        <w:t>Constr. Law.</w:t>
      </w:r>
      <w:r w:rsidR="00D40151">
        <w:t xml:space="preserve"> 46</w:t>
      </w:r>
      <w:r w:rsidR="00D40151" w:rsidRPr="00576845">
        <w:t xml:space="preserve"> </w:t>
      </w:r>
      <w:r w:rsidR="00D40151">
        <w:t>(</w:t>
      </w:r>
      <w:r w:rsidR="00D40151" w:rsidRPr="00576845">
        <w:t>Fall 2024</w:t>
      </w:r>
      <w:r w:rsidR="00D40151">
        <w:t>)</w:t>
      </w:r>
      <w:r w:rsidR="00CC7BC6">
        <w:t xml:space="preserve">; </w:t>
      </w:r>
      <w:r w:rsidR="00CC7BC6" w:rsidRPr="00CF7306">
        <w:t xml:space="preserve">Thomas J. Albertson, </w:t>
      </w:r>
      <w:r w:rsidR="00CC7BC6" w:rsidRPr="00CC7BC6">
        <w:rPr>
          <w:i/>
          <w:iCs/>
        </w:rPr>
        <w:t>Sustainable Housing in Three Steps Including Heat Island Overlay Zones</w:t>
      </w:r>
      <w:r w:rsidR="00CC7BC6" w:rsidRPr="00CF7306">
        <w:t>, 39 J. Envtl. L. &amp; Litig. 289</w:t>
      </w:r>
      <w:r w:rsidR="00CC7BC6">
        <w:t xml:space="preserve"> </w:t>
      </w:r>
      <w:r w:rsidR="00CC7BC6" w:rsidRPr="00CF7306">
        <w:t xml:space="preserve">(2024) </w:t>
      </w:r>
      <w:r w:rsidR="00CC7BC6">
        <w:t>(</w:t>
      </w:r>
      <w:r w:rsidR="00CC7BC6" w:rsidRPr="00CF7306">
        <w:t>student note</w:t>
      </w:r>
      <w:r w:rsidR="00CC7BC6">
        <w:t>)</w:t>
      </w:r>
      <w:r w:rsidR="00FE17AC">
        <w:t>;</w:t>
      </w:r>
      <w:r w:rsidR="008C1DAC" w:rsidRPr="008C1DAC">
        <w:t xml:space="preserve"> </w:t>
      </w:r>
      <w:r w:rsidR="008C1DAC" w:rsidRPr="00052902">
        <w:t>Robyn L. Miller</w:t>
      </w:r>
      <w:r w:rsidR="008C1DAC">
        <w:t xml:space="preserve">, </w:t>
      </w:r>
      <w:r w:rsidR="008C1DAC" w:rsidRPr="006A5A28">
        <w:rPr>
          <w:i/>
          <w:iCs/>
        </w:rPr>
        <w:t>et al.</w:t>
      </w:r>
      <w:r w:rsidR="008C1DAC">
        <w:t>,</w:t>
      </w:r>
      <w:r w:rsidR="001B6533">
        <w:t xml:space="preserve"> </w:t>
      </w:r>
      <w:r w:rsidR="00F40014">
        <w:rPr>
          <w:i/>
          <w:iCs/>
        </w:rPr>
        <w:t xml:space="preserve">International </w:t>
      </w:r>
      <w:r w:rsidR="00626470">
        <w:rPr>
          <w:i/>
          <w:iCs/>
        </w:rPr>
        <w:t>L</w:t>
      </w:r>
      <w:r w:rsidR="00F40014">
        <w:rPr>
          <w:i/>
          <w:iCs/>
        </w:rPr>
        <w:t>egalities of Sustainable Construction</w:t>
      </w:r>
      <w:r w:rsidR="00F40014">
        <w:t>,</w:t>
      </w:r>
      <w:r w:rsidR="008C1DAC" w:rsidRPr="00052902">
        <w:t xml:space="preserve"> </w:t>
      </w:r>
      <w:r w:rsidR="008C1DAC" w:rsidRPr="001B6533">
        <w:rPr>
          <w:i/>
          <w:iCs/>
        </w:rPr>
        <w:t xml:space="preserve">8 </w:t>
      </w:r>
      <w:r w:rsidR="008C1DAC" w:rsidRPr="00F40014">
        <w:t>J. Am. Coll. Constr. Laws</w:t>
      </w:r>
      <w:r w:rsidR="008C1DAC" w:rsidRPr="001B6533">
        <w:rPr>
          <w:i/>
          <w:iCs/>
        </w:rPr>
        <w:t xml:space="preserve"> </w:t>
      </w:r>
      <w:r w:rsidR="00BB5EE3" w:rsidRPr="00FA770F">
        <w:t>3</w:t>
      </w:r>
      <w:r w:rsidR="008C1DAC">
        <w:t xml:space="preserve"> (Feb. 2014)</w:t>
      </w:r>
      <w:r w:rsidR="0044568D">
        <w:t>.</w:t>
      </w:r>
    </w:p>
    <w:p w14:paraId="1DB2F769" w14:textId="0D00A9C6" w:rsidR="00655215" w:rsidRPr="001E5244" w:rsidRDefault="004D6A44" w:rsidP="00CC4839">
      <w:pPr>
        <w:rPr>
          <w:i/>
          <w:iCs/>
        </w:rPr>
      </w:pPr>
      <w:r>
        <w:rPr>
          <w:i/>
          <w:iCs/>
        </w:rPr>
        <w:t xml:space="preserve">In-depth Treatment for Legal </w:t>
      </w:r>
      <w:r w:rsidR="00A527D3">
        <w:rPr>
          <w:i/>
          <w:iCs/>
        </w:rPr>
        <w:t>Practitioners</w:t>
      </w:r>
    </w:p>
    <w:p w14:paraId="6AF6A1BE" w14:textId="25B9BF1A" w:rsidR="005E445D" w:rsidRDefault="005E445D" w:rsidP="00CC4839">
      <w:r>
        <w:tab/>
      </w:r>
      <w:r w:rsidR="007E2C25">
        <w:t xml:space="preserve">A treatise </w:t>
      </w:r>
      <w:r w:rsidR="00DD5CA5">
        <w:t xml:space="preserve">on </w:t>
      </w:r>
      <w:r w:rsidR="00D120B6">
        <w:t>the legal aspects of sustainable design and construction</w:t>
      </w:r>
      <w:r w:rsidR="00CE0FC3">
        <w:t>, which is available on L</w:t>
      </w:r>
      <w:r w:rsidR="003D449E">
        <w:t>exis,</w:t>
      </w:r>
      <w:r w:rsidR="00D120B6">
        <w:t xml:space="preserve"> </w:t>
      </w:r>
      <w:r w:rsidR="00683B2B">
        <w:t xml:space="preserve">comprehensively </w:t>
      </w:r>
      <w:r w:rsidR="005F15E1">
        <w:t>covers all these considerations and more</w:t>
      </w:r>
      <w:r w:rsidR="00683B2B">
        <w:t xml:space="preserve">. </w:t>
      </w:r>
      <w:r w:rsidR="002A7683">
        <w:rPr>
          <w:i/>
          <w:iCs/>
        </w:rPr>
        <w:t xml:space="preserve">See </w:t>
      </w:r>
      <w:r w:rsidR="00BB3225">
        <w:t>Jonathan Rosenbloom &amp; S</w:t>
      </w:r>
      <w:r w:rsidR="002A7683">
        <w:t>a</w:t>
      </w:r>
      <w:r w:rsidR="00BB3225">
        <w:t>rah Schindler</w:t>
      </w:r>
      <w:r w:rsidR="00A512A9">
        <w:t xml:space="preserve">, </w:t>
      </w:r>
      <w:r w:rsidR="00461F26">
        <w:rPr>
          <w:i/>
          <w:iCs/>
        </w:rPr>
        <w:t xml:space="preserve">Green Buildings: Practice and Procedure </w:t>
      </w:r>
      <w:r w:rsidR="00461F26">
        <w:t>(2026</w:t>
      </w:r>
      <w:r w:rsidR="00A512A9">
        <w:t xml:space="preserve"> ed</w:t>
      </w:r>
      <w:r w:rsidR="0033688C">
        <w:t>.</w:t>
      </w:r>
      <w:r w:rsidR="00856153">
        <w:t xml:space="preserve"> Matthew Bender).</w:t>
      </w:r>
      <w:r w:rsidR="00565EBF">
        <w:t xml:space="preserve"> The first eight chapters of this </w:t>
      </w:r>
      <w:r w:rsidR="00A325A4">
        <w:t xml:space="preserve">resource </w:t>
      </w:r>
      <w:r w:rsidR="00326ABE">
        <w:t>provide background on sustainable design and construction</w:t>
      </w:r>
      <w:r w:rsidR="00F772E0">
        <w:t>, including an overview of relevant regulations and law</w:t>
      </w:r>
      <w:r w:rsidR="006C1845">
        <w:t xml:space="preserve">, </w:t>
      </w:r>
      <w:r w:rsidR="006C015F">
        <w:t xml:space="preserve">sustainability ranking and </w:t>
      </w:r>
      <w:r w:rsidR="006C1845">
        <w:t>certification systems</w:t>
      </w:r>
      <w:r w:rsidR="001A628B">
        <w:t>,</w:t>
      </w:r>
      <w:r w:rsidR="006C1845">
        <w:t xml:space="preserve"> and</w:t>
      </w:r>
      <w:r w:rsidR="00512159">
        <w:t xml:space="preserve"> </w:t>
      </w:r>
      <w:r w:rsidR="006C1845">
        <w:t>basic real estate development aspects</w:t>
      </w:r>
      <w:r w:rsidR="000810ED">
        <w:t xml:space="preserve"> of sustainable </w:t>
      </w:r>
      <w:r w:rsidR="00885128">
        <w:t>projects</w:t>
      </w:r>
      <w:r w:rsidR="006C1845">
        <w:t xml:space="preserve"> (including site selection, due diligence</w:t>
      </w:r>
      <w:r w:rsidR="004D561C">
        <w:t>, purchase and sale</w:t>
      </w:r>
      <w:r w:rsidR="002B5FD0">
        <w:t xml:space="preserve"> </w:t>
      </w:r>
      <w:r w:rsidR="004D561C">
        <w:t>transactions</w:t>
      </w:r>
      <w:r w:rsidR="00684F45">
        <w:t>, incentive programs</w:t>
      </w:r>
      <w:r w:rsidR="00486B72">
        <w:t>, and leasing and financing considerations</w:t>
      </w:r>
      <w:r w:rsidR="00885128">
        <w:t>)</w:t>
      </w:r>
      <w:r w:rsidR="00486B72">
        <w:t xml:space="preserve">. The </w:t>
      </w:r>
      <w:r w:rsidR="00933A23">
        <w:t xml:space="preserve">final </w:t>
      </w:r>
      <w:r w:rsidR="001D7E8C">
        <w:t>four</w:t>
      </w:r>
      <w:r w:rsidR="00933A23">
        <w:t xml:space="preserve"> chapters</w:t>
      </w:r>
      <w:r w:rsidR="00CD456E">
        <w:t>, especially Chapters 10 and 11,</w:t>
      </w:r>
      <w:r w:rsidR="00933A23">
        <w:t xml:space="preserve"> focus on </w:t>
      </w:r>
      <w:r w:rsidR="00FB4AA3">
        <w:t>topics of special interest to construction lawyers.</w:t>
      </w:r>
    </w:p>
    <w:p w14:paraId="2AA8CE7D" w14:textId="7788F126" w:rsidR="00B90B97" w:rsidRDefault="00A228DE" w:rsidP="00A228DE">
      <w:pPr>
        <w:pStyle w:val="ListParagraph"/>
        <w:numPr>
          <w:ilvl w:val="0"/>
          <w:numId w:val="2"/>
        </w:numPr>
      </w:pPr>
      <w:r>
        <w:t>Chapter 10, “Provisions for Construction Contracts,”</w:t>
      </w:r>
      <w:r w:rsidR="00B8105A">
        <w:t xml:space="preserve"> </w:t>
      </w:r>
      <w:r w:rsidR="00747DCD">
        <w:t xml:space="preserve">deals with </w:t>
      </w:r>
      <w:r w:rsidR="000859FF">
        <w:t xml:space="preserve">contractual provisions that define </w:t>
      </w:r>
      <w:r w:rsidR="00AF71A0">
        <w:t>the project’s</w:t>
      </w:r>
      <w:r w:rsidR="00BF124F">
        <w:t xml:space="preserve"> sustainability</w:t>
      </w:r>
      <w:r w:rsidR="000859FF">
        <w:t xml:space="preserve"> objectives, </w:t>
      </w:r>
      <w:r w:rsidR="00FD4FFC">
        <w:t xml:space="preserve">including the selection of </w:t>
      </w:r>
      <w:r w:rsidR="006F142B">
        <w:t>applicable standards</w:t>
      </w:r>
      <w:r w:rsidR="00225D93">
        <w:t xml:space="preserve"> and certifications</w:t>
      </w:r>
      <w:r w:rsidR="00E95503">
        <w:t>. It also</w:t>
      </w:r>
      <w:r w:rsidR="00E73C33">
        <w:t xml:space="preserve"> analyzes and proposes provisions that</w:t>
      </w:r>
      <w:r w:rsidR="00852609">
        <w:t xml:space="preserve"> allocate</w:t>
      </w:r>
      <w:r w:rsidR="006F142B">
        <w:t xml:space="preserve"> responsibilities</w:t>
      </w:r>
      <w:r w:rsidR="00E8259D">
        <w:t>,</w:t>
      </w:r>
      <w:r w:rsidR="00852609">
        <w:t xml:space="preserve"> such as those relating</w:t>
      </w:r>
      <w:r w:rsidR="00196B58">
        <w:t xml:space="preserve"> to</w:t>
      </w:r>
      <w:r w:rsidR="00E8259D">
        <w:t xml:space="preserve"> documentation </w:t>
      </w:r>
      <w:r w:rsidR="009910CF">
        <w:t>for certification purposes</w:t>
      </w:r>
      <w:r w:rsidR="00235476">
        <w:t xml:space="preserve">, </w:t>
      </w:r>
      <w:r w:rsidR="00520496">
        <w:t xml:space="preserve">testing procedures and the </w:t>
      </w:r>
      <w:r w:rsidR="00235476">
        <w:t xml:space="preserve">commissioning </w:t>
      </w:r>
      <w:r w:rsidR="00520496">
        <w:t>process for</w:t>
      </w:r>
      <w:r w:rsidR="00235476">
        <w:t xml:space="preserve"> the project</w:t>
      </w:r>
      <w:r w:rsidR="00192DB1">
        <w:t xml:space="preserve">, regulatory compliance, </w:t>
      </w:r>
      <w:r w:rsidR="00471AF3">
        <w:t xml:space="preserve">selection of </w:t>
      </w:r>
      <w:r w:rsidR="00546761">
        <w:t xml:space="preserve">materials and products, </w:t>
      </w:r>
      <w:r w:rsidR="00FD366D">
        <w:t xml:space="preserve">waste management and </w:t>
      </w:r>
      <w:r w:rsidR="00196B58">
        <w:t xml:space="preserve">other </w:t>
      </w:r>
      <w:r w:rsidR="00FD366D">
        <w:t>sustainable construction p</w:t>
      </w:r>
      <w:r w:rsidR="008014BB">
        <w:t xml:space="preserve">ractices, contractual remedies, </w:t>
      </w:r>
      <w:r w:rsidR="008014BB">
        <w:lastRenderedPageBreak/>
        <w:t xml:space="preserve">and </w:t>
      </w:r>
      <w:r w:rsidR="00333319">
        <w:t xml:space="preserve">special </w:t>
      </w:r>
      <w:r w:rsidR="00640C8A">
        <w:t>dispute resolution provisions</w:t>
      </w:r>
      <w:r w:rsidR="00E416F3">
        <w:t xml:space="preserve"> (e.g., whether mediators or arbitrators must </w:t>
      </w:r>
      <w:r w:rsidR="00762A85">
        <w:t>have specialized credentials)</w:t>
      </w:r>
      <w:r w:rsidR="00640C8A">
        <w:t>.</w:t>
      </w:r>
      <w:r w:rsidR="00AA0F16">
        <w:t xml:space="preserve"> </w:t>
      </w:r>
      <w:r w:rsidR="00520496">
        <w:t xml:space="preserve">On these topics and </w:t>
      </w:r>
      <w:r w:rsidR="00B824D2">
        <w:t xml:space="preserve">others relating to the project’s sustainability goals, the authors </w:t>
      </w:r>
      <w:r w:rsidR="00625B87">
        <w:t>recommend</w:t>
      </w:r>
      <w:r w:rsidR="002D3A9E">
        <w:t xml:space="preserve"> and assess</w:t>
      </w:r>
      <w:r w:rsidR="00B824D2">
        <w:t xml:space="preserve"> sample contract</w:t>
      </w:r>
      <w:r w:rsidR="008D16EC">
        <w:t xml:space="preserve"> provisions</w:t>
      </w:r>
      <w:r w:rsidR="006E09B8">
        <w:t xml:space="preserve"> </w:t>
      </w:r>
      <w:r w:rsidR="009225A8">
        <w:t>to help implement</w:t>
      </w:r>
      <w:r w:rsidR="004D380D">
        <w:t xml:space="preserve"> the project’s sustainability</w:t>
      </w:r>
      <w:r w:rsidR="00BA3E47">
        <w:t xml:space="preserve"> objectives</w:t>
      </w:r>
      <w:r w:rsidR="008D16EC">
        <w:t>.</w:t>
      </w:r>
      <w:r w:rsidR="001D4866">
        <w:t xml:space="preserve"> </w:t>
      </w:r>
      <w:r w:rsidR="00C429A5">
        <w:t xml:space="preserve">They also sometimes suggest alternative </w:t>
      </w:r>
      <w:r w:rsidR="00CE5766">
        <w:t>contractual approaches</w:t>
      </w:r>
      <w:r w:rsidR="00B05550">
        <w:t>. For example,</w:t>
      </w:r>
      <w:r w:rsidR="00E85C69">
        <w:t xml:space="preserve"> the parties may designate</w:t>
      </w:r>
      <w:r w:rsidR="00CE5766">
        <w:t xml:space="preserve"> </w:t>
      </w:r>
      <w:r w:rsidR="00A47BE7">
        <w:t>a particular sustainability measure as either an aspiration or as a contractual obligation</w:t>
      </w:r>
      <w:r w:rsidR="00F56418">
        <w:t xml:space="preserve">, or they may allow for </w:t>
      </w:r>
      <w:r w:rsidR="009D6FCD">
        <w:t>greater</w:t>
      </w:r>
      <w:r w:rsidR="00F56418">
        <w:t xml:space="preserve"> or </w:t>
      </w:r>
      <w:r w:rsidR="00BE64BB">
        <w:t>more limited</w:t>
      </w:r>
      <w:r w:rsidR="00F56418">
        <w:t xml:space="preserve"> opportunities for the contract</w:t>
      </w:r>
      <w:r w:rsidR="00BE64BB">
        <w:t>or</w:t>
      </w:r>
      <w:r w:rsidR="00F56418">
        <w:t xml:space="preserve"> to </w:t>
      </w:r>
      <w:r w:rsidR="00973BA5">
        <w:t xml:space="preserve">correct deficiencies </w:t>
      </w:r>
      <w:r w:rsidR="000A4E69">
        <w:t>in achieving</w:t>
      </w:r>
      <w:r w:rsidR="004174C4">
        <w:t xml:space="preserve"> </w:t>
      </w:r>
      <w:r w:rsidR="002C02F4">
        <w:t>sustainable performance measures or</w:t>
      </w:r>
      <w:r w:rsidR="000A4E69">
        <w:t xml:space="preserve"> relating to certifications</w:t>
      </w:r>
      <w:r w:rsidR="00A47BE7">
        <w:t>.</w:t>
      </w:r>
      <w:r w:rsidR="00A0784E">
        <w:t xml:space="preserve"> </w:t>
      </w:r>
      <w:r w:rsidR="004A7C96">
        <w:t>Other alternative</w:t>
      </w:r>
      <w:r w:rsidR="00611B02">
        <w:t xml:space="preserve">s of special note include </w:t>
      </w:r>
      <w:r w:rsidR="00E34C8F">
        <w:t>whether to define the measure of damages for failing to achieve a</w:t>
      </w:r>
      <w:r w:rsidR="00F07E33">
        <w:t xml:space="preserve"> sustainabilit</w:t>
      </w:r>
      <w:r w:rsidR="008366BE">
        <w:t xml:space="preserve">y certification or specification, the scope of any related indemnities, and </w:t>
      </w:r>
      <w:r w:rsidR="0009409A">
        <w:t>any contractual limits on the contractor’s liability</w:t>
      </w:r>
      <w:r w:rsidR="008823C7">
        <w:t xml:space="preserve"> relating to sustainability.</w:t>
      </w:r>
    </w:p>
    <w:p w14:paraId="4AC4BF13" w14:textId="45356263" w:rsidR="00640C8A" w:rsidRDefault="00E73B61" w:rsidP="00A228DE">
      <w:pPr>
        <w:pStyle w:val="ListParagraph"/>
        <w:numPr>
          <w:ilvl w:val="0"/>
          <w:numId w:val="2"/>
        </w:numPr>
      </w:pPr>
      <w:r>
        <w:t>Chapter 11, “</w:t>
      </w:r>
      <w:r w:rsidR="00E40168">
        <w:t>P</w:t>
      </w:r>
      <w:r>
        <w:t>rovisions for Design and Engineering Agreements</w:t>
      </w:r>
      <w:r w:rsidR="002B4382">
        <w:t xml:space="preserve">,” </w:t>
      </w:r>
      <w:r w:rsidR="005F6759">
        <w:t>discusses</w:t>
      </w:r>
      <w:r w:rsidR="00F240A4">
        <w:t xml:space="preserve"> </w:t>
      </w:r>
      <w:r w:rsidR="003C464D">
        <w:t>contractual terms</w:t>
      </w:r>
      <w:r w:rsidR="00F240A4">
        <w:t xml:space="preserve"> that </w:t>
      </w:r>
      <w:r w:rsidR="001A6878">
        <w:t>define</w:t>
      </w:r>
      <w:r w:rsidR="00F240A4">
        <w:t xml:space="preserve"> the scope of </w:t>
      </w:r>
      <w:r w:rsidR="003C464D">
        <w:t xml:space="preserve">design </w:t>
      </w:r>
      <w:r w:rsidR="00F240A4">
        <w:t>services</w:t>
      </w:r>
      <w:r w:rsidR="00413A9F">
        <w:t xml:space="preserve">, </w:t>
      </w:r>
      <w:r w:rsidR="001A6878">
        <w:t xml:space="preserve">establish </w:t>
      </w:r>
      <w:r w:rsidR="003C464D">
        <w:t xml:space="preserve">professional </w:t>
      </w:r>
      <w:r w:rsidR="00413A9F">
        <w:t>standards of care, allocat</w:t>
      </w:r>
      <w:r w:rsidR="001A6878">
        <w:t>e</w:t>
      </w:r>
      <w:r w:rsidR="00413A9F">
        <w:t xml:space="preserve"> </w:t>
      </w:r>
      <w:r w:rsidR="00B93F35">
        <w:t>liability for achieving sustainab</w:t>
      </w:r>
      <w:r w:rsidR="00867A41">
        <w:t>il</w:t>
      </w:r>
      <w:r w:rsidR="005F6759">
        <w:t>i</w:t>
      </w:r>
      <w:r w:rsidR="00867A41">
        <w:t>ty</w:t>
      </w:r>
      <w:r w:rsidR="00B93F35">
        <w:t xml:space="preserve"> goals, certification</w:t>
      </w:r>
      <w:r w:rsidR="006901B7">
        <w:t>s</w:t>
      </w:r>
      <w:r w:rsidR="00B93F35">
        <w:t>, documentation, and regulatory compliance,</w:t>
      </w:r>
      <w:r w:rsidR="00867A41">
        <w:t xml:space="preserve"> and provide</w:t>
      </w:r>
      <w:r w:rsidR="00D35C3F">
        <w:t xml:space="preserve"> for</w:t>
      </w:r>
      <w:r w:rsidR="00867A41">
        <w:t xml:space="preserve"> </w:t>
      </w:r>
      <w:r w:rsidR="005960C6">
        <w:t xml:space="preserve">the </w:t>
      </w:r>
      <w:r w:rsidR="003F6A3B">
        <w:t xml:space="preserve">overall coordination </w:t>
      </w:r>
      <w:r w:rsidR="00FA7AC1">
        <w:t>of sustainability matters</w:t>
      </w:r>
      <w:r w:rsidR="00C517B9">
        <w:t>.</w:t>
      </w:r>
      <w:r w:rsidR="00B83D86">
        <w:t xml:space="preserve"> A key consideration involves </w:t>
      </w:r>
      <w:r w:rsidR="003A2BF9">
        <w:t>establishing the design professional’s scope of services</w:t>
      </w:r>
      <w:r w:rsidR="007E50BE">
        <w:t xml:space="preserve"> with clarity</w:t>
      </w:r>
      <w:r w:rsidR="003A2BF9">
        <w:t xml:space="preserve">. </w:t>
      </w:r>
      <w:r w:rsidR="00C7291E">
        <w:t>For example, w</w:t>
      </w:r>
      <w:r w:rsidR="007C6040">
        <w:t xml:space="preserve">ill the project architect or another </w:t>
      </w:r>
      <w:r w:rsidR="00637396">
        <w:t xml:space="preserve">design consultant have overall responsibility for developing </w:t>
      </w:r>
      <w:r w:rsidR="007E50BE">
        <w:t>a</w:t>
      </w:r>
      <w:r w:rsidR="00637396">
        <w:t xml:space="preserve"> sustainability plan and coordinating its implementation</w:t>
      </w:r>
      <w:r w:rsidR="00A578D6">
        <w:t>? The scope of services may</w:t>
      </w:r>
      <w:r w:rsidR="00F43CC2">
        <w:t xml:space="preserve"> contemplate</w:t>
      </w:r>
      <w:r w:rsidR="00D13B38">
        <w:t xml:space="preserve"> reviewing and approving </w:t>
      </w:r>
      <w:r w:rsidR="00C533E7">
        <w:t>the contractor’s submittals relating to materials</w:t>
      </w:r>
      <w:r w:rsidR="008277E2">
        <w:t xml:space="preserve"> and</w:t>
      </w:r>
      <w:r w:rsidR="00C533E7">
        <w:t xml:space="preserve"> waste management</w:t>
      </w:r>
      <w:r w:rsidR="008277E2">
        <w:t>, undertaking periodic inspections</w:t>
      </w:r>
      <w:r w:rsidR="00BD6876">
        <w:t xml:space="preserve"> </w:t>
      </w:r>
      <w:r w:rsidR="00637C33">
        <w:t>of designated features, overseeing performance testing and project commissioning</w:t>
      </w:r>
      <w:r w:rsidR="00A611BB">
        <w:t xml:space="preserve">, and managing </w:t>
      </w:r>
      <w:r w:rsidR="00545658">
        <w:t>any certification processes</w:t>
      </w:r>
      <w:r w:rsidR="00F43CC2">
        <w:t>.</w:t>
      </w:r>
      <w:r w:rsidR="00683CF3">
        <w:t xml:space="preserve"> </w:t>
      </w:r>
      <w:r w:rsidR="007F21F1">
        <w:t>Other</w:t>
      </w:r>
      <w:r w:rsidR="004C1A24">
        <w:t xml:space="preserve"> key topic</w:t>
      </w:r>
      <w:r w:rsidR="007F21F1">
        <w:t>s are</w:t>
      </w:r>
      <w:r w:rsidR="004C1A24">
        <w:t xml:space="preserve"> whether </w:t>
      </w:r>
      <w:r w:rsidR="00683CF3">
        <w:t xml:space="preserve">the design services contract </w:t>
      </w:r>
      <w:r w:rsidR="004C1A24">
        <w:t xml:space="preserve">should </w:t>
      </w:r>
      <w:r w:rsidR="00683CF3">
        <w:t xml:space="preserve">incorporate a heightened standard of care based on </w:t>
      </w:r>
      <w:r w:rsidR="00864766">
        <w:t xml:space="preserve">knowledge, skill, and experience </w:t>
      </w:r>
      <w:r w:rsidR="00B91C07">
        <w:t>in achieving sustainability measures</w:t>
      </w:r>
      <w:r w:rsidR="009E05D7">
        <w:t>,</w:t>
      </w:r>
      <w:r w:rsidR="00675E89">
        <w:t xml:space="preserve"> and how to </w:t>
      </w:r>
      <w:r w:rsidR="00A361AA">
        <w:t>address the design professional’s liability exposure relating to sustainability</w:t>
      </w:r>
      <w:r w:rsidR="004C1A24">
        <w:t>.</w:t>
      </w:r>
      <w:r w:rsidR="008D6FD5">
        <w:t xml:space="preserve"> </w:t>
      </w:r>
      <w:r w:rsidR="00277D0C">
        <w:t>Counsel for the design professional will</w:t>
      </w:r>
      <w:r w:rsidR="00A91565">
        <w:t xml:space="preserve"> </w:t>
      </w:r>
      <w:r w:rsidR="003A74EC">
        <w:t>logically propose provisions that</w:t>
      </w:r>
      <w:r w:rsidR="009D41F9">
        <w:t xml:space="preserve"> expressly disclaim</w:t>
      </w:r>
      <w:r w:rsidR="00F97DE5">
        <w:t xml:space="preserve"> warranties </w:t>
      </w:r>
      <w:r w:rsidR="003A74EC">
        <w:t>and</w:t>
      </w:r>
      <w:r w:rsidR="00F97DE5">
        <w:t xml:space="preserve"> guarantees</w:t>
      </w:r>
      <w:r w:rsidR="00A25299">
        <w:t xml:space="preserve"> </w:t>
      </w:r>
      <w:r w:rsidR="003A74EC">
        <w:t>and that</w:t>
      </w:r>
      <w:r w:rsidR="00A25299">
        <w:t xml:space="preserve"> otherwise limit the design profes</w:t>
      </w:r>
      <w:r w:rsidR="006768F6">
        <w:t>sional’s</w:t>
      </w:r>
      <w:r w:rsidR="009D41F9">
        <w:t xml:space="preserve"> </w:t>
      </w:r>
      <w:r w:rsidR="00A25299">
        <w:t xml:space="preserve">liability </w:t>
      </w:r>
      <w:r w:rsidR="006768F6">
        <w:t xml:space="preserve">relating to </w:t>
      </w:r>
      <w:r w:rsidR="006C35F4">
        <w:t>sustainability outcomes</w:t>
      </w:r>
      <w:r w:rsidR="003A74EC">
        <w:t xml:space="preserve">. </w:t>
      </w:r>
      <w:r w:rsidR="00023F47">
        <w:t xml:space="preserve">Contractual liability limits may be tied to </w:t>
      </w:r>
      <w:r w:rsidR="007569E9">
        <w:t xml:space="preserve">professional liability insurance limits. </w:t>
      </w:r>
      <w:r w:rsidR="003A74EC">
        <w:t xml:space="preserve">How broad and inclusive should </w:t>
      </w:r>
      <w:r w:rsidR="00370FFD">
        <w:t>such provisions be?</w:t>
      </w:r>
      <w:r w:rsidR="003B2063">
        <w:t xml:space="preserve"> </w:t>
      </w:r>
      <w:r w:rsidR="00E3524F">
        <w:t>T</w:t>
      </w:r>
      <w:r w:rsidR="00841DAA">
        <w:t xml:space="preserve">he contract might </w:t>
      </w:r>
      <w:r w:rsidR="00AC5114">
        <w:t>require</w:t>
      </w:r>
      <w:r w:rsidR="00160D52">
        <w:t xml:space="preserve"> the design professional to provide additional services </w:t>
      </w:r>
      <w:r w:rsidR="00360523">
        <w:t>intended</w:t>
      </w:r>
      <w:r w:rsidR="00160D52">
        <w:t xml:space="preserve"> to resolve </w:t>
      </w:r>
      <w:r w:rsidR="00F2285F">
        <w:t xml:space="preserve">specified </w:t>
      </w:r>
      <w:r w:rsidR="00F90B07">
        <w:t>sustainability objectives</w:t>
      </w:r>
      <w:r w:rsidR="003D63C4">
        <w:t xml:space="preserve"> when performance problems arise</w:t>
      </w:r>
      <w:r w:rsidR="00F90B07">
        <w:t>.</w:t>
      </w:r>
      <w:r w:rsidR="008B5029">
        <w:t xml:space="preserve"> </w:t>
      </w:r>
      <w:r w:rsidR="00E3524F">
        <w:t>Conversely, the parties may wish to include financial incentives for achieving specified goals.</w:t>
      </w:r>
      <w:r w:rsidR="00A776E6">
        <w:t xml:space="preserve"> </w:t>
      </w:r>
      <w:r w:rsidR="00B97F22">
        <w:t>Other provisions might</w:t>
      </w:r>
      <w:r w:rsidR="003B2063">
        <w:t xml:space="preserve"> address the prospect that the owner or the contractor may</w:t>
      </w:r>
      <w:r w:rsidR="00544AF7">
        <w:t xml:space="preserve"> propose changes </w:t>
      </w:r>
      <w:r w:rsidR="00187ADD">
        <w:t xml:space="preserve">relating to sustainability </w:t>
      </w:r>
      <w:r w:rsidR="00544AF7">
        <w:t>during the construction</w:t>
      </w:r>
      <w:r w:rsidR="00102730">
        <w:t xml:space="preserve"> process</w:t>
      </w:r>
      <w:r w:rsidR="00187ADD">
        <w:t>.</w:t>
      </w:r>
    </w:p>
    <w:p w14:paraId="468874D6" w14:textId="08867801" w:rsidR="00C517B9" w:rsidRDefault="00C517B9" w:rsidP="00A228DE">
      <w:pPr>
        <w:pStyle w:val="ListParagraph"/>
        <w:numPr>
          <w:ilvl w:val="0"/>
          <w:numId w:val="2"/>
        </w:numPr>
      </w:pPr>
      <w:r>
        <w:lastRenderedPageBreak/>
        <w:t>Chapter 12, “Insurance Coverag</w:t>
      </w:r>
      <w:r w:rsidR="00211E38">
        <w:t>e for Green Building,” includes considerations relating to property insurance, commercial general liability insurance, and professional liability</w:t>
      </w:r>
      <w:r w:rsidR="00E85C80">
        <w:t xml:space="preserve"> insurance for the project.</w:t>
      </w:r>
      <w:r w:rsidR="009705D6">
        <w:t xml:space="preserve"> Among other things, the authors </w:t>
      </w:r>
      <w:r w:rsidR="00407BF0">
        <w:t>discuss developments in the insurance industry specifically relating to sustainable design and construction, including</w:t>
      </w:r>
      <w:r w:rsidR="00B605F8">
        <w:t xml:space="preserve"> </w:t>
      </w:r>
      <w:r w:rsidR="00424A65">
        <w:t>coverage exclusions and</w:t>
      </w:r>
      <w:r w:rsidR="00407BF0">
        <w:t xml:space="preserve"> so-called </w:t>
      </w:r>
      <w:r w:rsidR="00496CFF">
        <w:t>“green endorsements” to insurance policies.</w:t>
      </w:r>
    </w:p>
    <w:p w14:paraId="64DFA0AC" w14:textId="72FF3AD4" w:rsidR="00E85C80" w:rsidRPr="00461F26" w:rsidRDefault="00E85C80" w:rsidP="00A228DE">
      <w:pPr>
        <w:pStyle w:val="ListParagraph"/>
        <w:numPr>
          <w:ilvl w:val="0"/>
          <w:numId w:val="2"/>
        </w:numPr>
      </w:pPr>
      <w:r>
        <w:t xml:space="preserve">Chapter 13, “Green Building Dispute Resolution,” </w:t>
      </w:r>
      <w:r w:rsidR="00B03B64">
        <w:t>covers</w:t>
      </w:r>
      <w:r w:rsidR="0082479C">
        <w:t xml:space="preserve"> common</w:t>
      </w:r>
      <w:r w:rsidR="008B1C4E">
        <w:t xml:space="preserve">ly litigated issues and </w:t>
      </w:r>
      <w:r w:rsidR="00BD2F4D">
        <w:t xml:space="preserve">reviews how </w:t>
      </w:r>
      <w:r w:rsidR="00AA3151">
        <w:t>established</w:t>
      </w:r>
      <w:r w:rsidR="008B1C4E">
        <w:t xml:space="preserve"> legal theories</w:t>
      </w:r>
      <w:r w:rsidR="00BD2F4D">
        <w:t xml:space="preserve">, such as breach of contract, </w:t>
      </w:r>
      <w:r w:rsidR="00F329DE">
        <w:t xml:space="preserve">professional negligence, </w:t>
      </w:r>
      <w:r w:rsidR="00196F9A">
        <w:t>fraud and misrepresentation</w:t>
      </w:r>
      <w:r w:rsidR="00AF3F93">
        <w:t xml:space="preserve">, implied warranties, and consumer protection </w:t>
      </w:r>
      <w:r w:rsidR="00EC016F">
        <w:t>principles</w:t>
      </w:r>
      <w:r w:rsidR="00AF3F93">
        <w:t xml:space="preserve"> may apply in the context of sustainable design and construction</w:t>
      </w:r>
      <w:r w:rsidR="00896642">
        <w:t>.</w:t>
      </w:r>
      <w:r w:rsidR="00362773">
        <w:t xml:space="preserve"> </w:t>
      </w:r>
      <w:r w:rsidR="00C4661E">
        <w:t>This chapter also</w:t>
      </w:r>
      <w:r w:rsidR="002D78E4">
        <w:t xml:space="preserve"> </w:t>
      </w:r>
      <w:r w:rsidR="00B03B64">
        <w:t xml:space="preserve">discusses problems </w:t>
      </w:r>
      <w:r w:rsidR="004E63F0">
        <w:t>relating to</w:t>
      </w:r>
      <w:r w:rsidR="00E9462A">
        <w:t xml:space="preserve"> ambiguous contract provisions governing sustainability objectives and responsibilities,</w:t>
      </w:r>
      <w:r w:rsidR="004A2ABE">
        <w:t xml:space="preserve"> </w:t>
      </w:r>
      <w:r w:rsidR="006C7211">
        <w:t xml:space="preserve">standards of proof, </w:t>
      </w:r>
      <w:r w:rsidR="00DB5BEC">
        <w:t xml:space="preserve">and </w:t>
      </w:r>
      <w:r w:rsidR="00B74992">
        <w:t xml:space="preserve">alternative </w:t>
      </w:r>
      <w:r w:rsidR="000B4A17">
        <w:t>remedies for failures to achieve</w:t>
      </w:r>
      <w:r w:rsidR="002341ED">
        <w:t xml:space="preserve"> sustainability</w:t>
      </w:r>
      <w:r w:rsidR="0089541F">
        <w:t xml:space="preserve"> goals,</w:t>
      </w:r>
      <w:r w:rsidR="003A6006">
        <w:t xml:space="preserve"> including</w:t>
      </w:r>
      <w:r w:rsidR="002341ED">
        <w:t xml:space="preserve"> </w:t>
      </w:r>
      <w:r w:rsidR="00470A5F">
        <w:t>the appropriate measure of damages</w:t>
      </w:r>
      <w:r w:rsidR="00B11396">
        <w:t>.</w:t>
      </w:r>
    </w:p>
    <w:p w14:paraId="0B8BAAFA" w14:textId="550948E2" w:rsidR="00A527D3" w:rsidRDefault="00A527D3" w:rsidP="006A420E">
      <w:pPr>
        <w:keepNext/>
      </w:pPr>
      <w:r>
        <w:rPr>
          <w:i/>
          <w:iCs/>
        </w:rPr>
        <w:t>The AIA Framework</w:t>
      </w:r>
      <w:r w:rsidR="00063C77">
        <w:tab/>
      </w:r>
    </w:p>
    <w:p w14:paraId="123F2947" w14:textId="49854D89" w:rsidR="00914EC4" w:rsidRDefault="00A527D3" w:rsidP="006A420E">
      <w:pPr>
        <w:keepNext/>
      </w:pPr>
      <w:r>
        <w:tab/>
      </w:r>
      <w:r w:rsidR="005705CB">
        <w:t>A predictable consequence of</w:t>
      </w:r>
      <w:r w:rsidR="007957F5">
        <w:t xml:space="preserve"> all</w:t>
      </w:r>
      <w:r w:rsidR="005705CB">
        <w:t xml:space="preserve"> this attention to the legal aspects of sustainable design and construction </w:t>
      </w:r>
      <w:r w:rsidR="00057253">
        <w:t xml:space="preserve">is </w:t>
      </w:r>
      <w:r w:rsidR="000B3DC6">
        <w:t>a demand for</w:t>
      </w:r>
      <w:r w:rsidR="00A52737">
        <w:t xml:space="preserve"> </w:t>
      </w:r>
      <w:r w:rsidR="007957F5">
        <w:t xml:space="preserve">a degree of standardization in </w:t>
      </w:r>
      <w:r w:rsidR="00A324A0">
        <w:t>contract</w:t>
      </w:r>
      <w:r w:rsidR="00D558FE">
        <w:t>ing</w:t>
      </w:r>
      <w:r w:rsidR="00A324A0">
        <w:t>.</w:t>
      </w:r>
      <w:r w:rsidR="00CE48BC">
        <w:t xml:space="preserve"> </w:t>
      </w:r>
      <w:r w:rsidR="00033309">
        <w:t>As noted in</w:t>
      </w:r>
      <w:r w:rsidR="00F546F7">
        <w:t xml:space="preserve"> </w:t>
      </w:r>
      <w:r w:rsidR="00CB37F5">
        <w:t>some</w:t>
      </w:r>
      <w:r w:rsidR="00F546F7">
        <w:t xml:space="preserve"> of</w:t>
      </w:r>
      <w:r w:rsidR="00033309">
        <w:t xml:space="preserve"> </w:t>
      </w:r>
      <w:r w:rsidR="002D4A6B">
        <w:t xml:space="preserve">the publications discussed above, </w:t>
      </w:r>
      <w:r w:rsidR="00E3359E">
        <w:t>several industry organizations</w:t>
      </w:r>
      <w:r w:rsidR="00CB37F5">
        <w:t xml:space="preserve"> now</w:t>
      </w:r>
      <w:r w:rsidR="00E3359E">
        <w:t xml:space="preserve"> </w:t>
      </w:r>
      <w:r w:rsidR="008C4BE0">
        <w:t>offer</w:t>
      </w:r>
      <w:r w:rsidR="008F10F6">
        <w:t xml:space="preserve"> </w:t>
      </w:r>
      <w:r w:rsidR="00C518A0">
        <w:t xml:space="preserve">contract documents or </w:t>
      </w:r>
      <w:r w:rsidR="008C4BE0">
        <w:t xml:space="preserve">contractual </w:t>
      </w:r>
      <w:r w:rsidR="00C518A0">
        <w:t>provisions</w:t>
      </w:r>
      <w:r w:rsidR="008C4BE0">
        <w:t xml:space="preserve"> </w:t>
      </w:r>
      <w:r w:rsidR="00DA62C4">
        <w:t>specific to</w:t>
      </w:r>
      <w:r w:rsidR="008F10F6">
        <w:t xml:space="preserve"> projects wit</w:t>
      </w:r>
      <w:r w:rsidR="00C87BF0">
        <w:t>h</w:t>
      </w:r>
      <w:r w:rsidR="008C4BE0">
        <w:t xml:space="preserve"> </w:t>
      </w:r>
      <w:r w:rsidR="00EE5F25">
        <w:t xml:space="preserve">sustainability </w:t>
      </w:r>
      <w:r w:rsidR="008F10F6">
        <w:t>objectives</w:t>
      </w:r>
      <w:r w:rsidR="004257A1">
        <w:t xml:space="preserve">. Due to the popularity of the American Institute of Architects’ </w:t>
      </w:r>
      <w:r w:rsidR="00CD2D59">
        <w:t xml:space="preserve">contract documents, this lesson concludes with </w:t>
      </w:r>
      <w:r w:rsidR="007D0DA6">
        <w:t>an overview of</w:t>
      </w:r>
      <w:r w:rsidR="00EE5F25">
        <w:t xml:space="preserve"> </w:t>
      </w:r>
      <w:r w:rsidR="00E27C80">
        <w:t xml:space="preserve">the AIA </w:t>
      </w:r>
      <w:r w:rsidR="005D5C70">
        <w:t>approach</w:t>
      </w:r>
      <w:r w:rsidR="006E720B">
        <w:t xml:space="preserve">. </w:t>
      </w:r>
      <w:r w:rsidR="005A4875">
        <w:t>T</w:t>
      </w:r>
      <w:r w:rsidR="00BE3F9C">
        <w:t>he American Institute of Architects</w:t>
      </w:r>
      <w:r w:rsidR="009D2ACB">
        <w:t xml:space="preserve">’ response to </w:t>
      </w:r>
      <w:r w:rsidR="005F1391">
        <w:t>the</w:t>
      </w:r>
      <w:r w:rsidR="009D2ACB">
        <w:t xml:space="preserve"> demand</w:t>
      </w:r>
      <w:r w:rsidR="005F1391">
        <w:t xml:space="preserve"> for </w:t>
      </w:r>
      <w:r w:rsidR="00521D04">
        <w:t>contractual solutions</w:t>
      </w:r>
      <w:r w:rsidR="009D2ACB">
        <w:t xml:space="preserve"> is</w:t>
      </w:r>
      <w:r w:rsidR="00A7520E">
        <w:t xml:space="preserve"> </w:t>
      </w:r>
      <w:r w:rsidR="00134A38">
        <w:t>“</w:t>
      </w:r>
      <w:r w:rsidR="00A62227">
        <w:t>AIA E204-2017</w:t>
      </w:r>
      <w:r w:rsidR="00D47106">
        <w:t xml:space="preserve"> </w:t>
      </w:r>
      <w:r w:rsidR="00AB7576">
        <w:t>Sustainable Projects Exhibit”</w:t>
      </w:r>
      <w:r w:rsidR="00134A38">
        <w:t xml:space="preserve"> </w:t>
      </w:r>
      <w:r w:rsidR="00F03389">
        <w:t>(the “Sustainability Exhibit”)</w:t>
      </w:r>
      <w:r w:rsidR="00134A38">
        <w:t xml:space="preserve">. </w:t>
      </w:r>
      <w:r w:rsidR="00134A38">
        <w:rPr>
          <w:i/>
          <w:iCs/>
        </w:rPr>
        <w:t xml:space="preserve">See </w:t>
      </w:r>
      <w:r w:rsidR="00134A38">
        <w:t>Jessyca H</w:t>
      </w:r>
      <w:r w:rsidR="00C1766F">
        <w:t>e</w:t>
      </w:r>
      <w:r w:rsidR="00134A38">
        <w:t xml:space="preserve">nderson, </w:t>
      </w:r>
      <w:r w:rsidR="00500D09">
        <w:rPr>
          <w:i/>
          <w:iCs/>
        </w:rPr>
        <w:t xml:space="preserve">The AIA E204-2017 Sustainable Projects Exhibit—Defining Roles and </w:t>
      </w:r>
      <w:r w:rsidR="008C4C40">
        <w:rPr>
          <w:i/>
          <w:iCs/>
        </w:rPr>
        <w:t>Responsibilities</w:t>
      </w:r>
      <w:r w:rsidR="008C4C40">
        <w:t xml:space="preserve"> (August 16, 2022, available via the AIA website</w:t>
      </w:r>
      <w:r w:rsidR="006B5DEE">
        <w:t>, https</w:t>
      </w:r>
      <w:r w:rsidR="00CC0809">
        <w:t>://</w:t>
      </w:r>
      <w:r w:rsidR="00914EC4">
        <w:t>www.aia.org).</w:t>
      </w:r>
      <w:r w:rsidR="00A34D99">
        <w:t xml:space="preserve"> </w:t>
      </w:r>
    </w:p>
    <w:p w14:paraId="0783A2EC" w14:textId="2D128060" w:rsidR="00063C77" w:rsidRDefault="00AD5157" w:rsidP="00225371">
      <w:r>
        <w:tab/>
      </w:r>
      <w:r w:rsidR="00521D04">
        <w:t xml:space="preserve">The Sustainability Exhibit is intended to be </w:t>
      </w:r>
      <w:r w:rsidR="006701BA">
        <w:t>used in conjunction with</w:t>
      </w:r>
      <w:r w:rsidR="00521D04">
        <w:t xml:space="preserve"> other AIA contract documents for projects with defined sustainability objectives. </w:t>
      </w:r>
      <w:r>
        <w:t>For example, i</w:t>
      </w:r>
      <w:r w:rsidR="00300C40">
        <w:t>n a design-bid-build project</w:t>
      </w:r>
      <w:r w:rsidR="00203FBE">
        <w:t>, the AIA approach calls for</w:t>
      </w:r>
      <w:r w:rsidR="00AA4000">
        <w:t xml:space="preserve"> inc</w:t>
      </w:r>
      <w:r w:rsidR="00E87DF4">
        <w:t>orporating the exhibit into</w:t>
      </w:r>
      <w:r w:rsidR="00203FBE">
        <w:t xml:space="preserve"> the</w:t>
      </w:r>
      <w:r w:rsidR="00820D70">
        <w:t xml:space="preserve"> relevant contracts between the owner and architect and their </w:t>
      </w:r>
      <w:r w:rsidR="00AA4000">
        <w:t>contractors and consultants</w:t>
      </w:r>
      <w:r w:rsidR="00736DBC">
        <w:t xml:space="preserve">. </w:t>
      </w:r>
      <w:r w:rsidR="00207672">
        <w:t>Under this approach,</w:t>
      </w:r>
      <w:r w:rsidR="001A7FE2">
        <w:t xml:space="preserve"> </w:t>
      </w:r>
      <w:r w:rsidR="007D0E5F">
        <w:t>Section 1.1.5</w:t>
      </w:r>
      <w:r w:rsidR="000933AD">
        <w:t xml:space="preserve"> of the owner-architect agreement (</w:t>
      </w:r>
      <w:r w:rsidR="000D4CC9">
        <w:t>AIA Document B101-2017)</w:t>
      </w:r>
      <w:r w:rsidR="0041583B">
        <w:t xml:space="preserve"> calls for the owner to describe</w:t>
      </w:r>
      <w:r w:rsidR="00B8419C" w:rsidRPr="00B8419C">
        <w:t xml:space="preserve"> </w:t>
      </w:r>
      <w:r w:rsidR="00B8419C">
        <w:t>any “Sustainable Objective</w:t>
      </w:r>
      <w:r w:rsidR="000D4CC9">
        <w:t>,</w:t>
      </w:r>
      <w:r w:rsidR="00B8419C">
        <w:t>”</w:t>
      </w:r>
      <w:r w:rsidR="000D4CC9">
        <w:t xml:space="preserve"> and</w:t>
      </w:r>
      <w:r w:rsidR="00B8419C">
        <w:t xml:space="preserve"> Section 1.1.6 then provides for</w:t>
      </w:r>
      <w:r w:rsidR="000D4CC9">
        <w:t xml:space="preserve"> the </w:t>
      </w:r>
      <w:r w:rsidR="00747425">
        <w:t xml:space="preserve">owner and the </w:t>
      </w:r>
      <w:r w:rsidR="000D4CC9">
        <w:t xml:space="preserve">architect </w:t>
      </w:r>
      <w:r w:rsidR="00747425">
        <w:t xml:space="preserve">to </w:t>
      </w:r>
      <w:r w:rsidR="00F03389">
        <w:t>complete the Sustainability Exhibit and to incorporate it into</w:t>
      </w:r>
      <w:r w:rsidR="00C82842">
        <w:t xml:space="preserve"> their agreement as well as i</w:t>
      </w:r>
      <w:r w:rsidR="0050234B">
        <w:t>nto their contracts with the relevant consultants and contractors.</w:t>
      </w:r>
      <w:r w:rsidR="00023150">
        <w:t xml:space="preserve"> The Sustainability Exhibit contemplates </w:t>
      </w:r>
      <w:r w:rsidR="008F2E6A">
        <w:t xml:space="preserve">the articulation of a plan to achieve specified </w:t>
      </w:r>
      <w:r w:rsidR="00E55E36">
        <w:t>sustainab</w:t>
      </w:r>
      <w:r w:rsidR="002806F8">
        <w:t>ility</w:t>
      </w:r>
      <w:r w:rsidR="00E55E36">
        <w:t xml:space="preserve"> objectives</w:t>
      </w:r>
      <w:r w:rsidR="0063641B">
        <w:t xml:space="preserve">. </w:t>
      </w:r>
      <w:r w:rsidR="002806F8">
        <w:t xml:space="preserve">It </w:t>
      </w:r>
      <w:r w:rsidR="00AF3247">
        <w:t xml:space="preserve">assigns to </w:t>
      </w:r>
      <w:r w:rsidR="002806F8">
        <w:t>the</w:t>
      </w:r>
      <w:r w:rsidR="00AE4465">
        <w:t xml:space="preserve"> owner </w:t>
      </w:r>
      <w:r w:rsidR="00AF3247">
        <w:t>the</w:t>
      </w:r>
      <w:r w:rsidR="00AE4465">
        <w:t xml:space="preserve"> responsibility to set relevant sustainability goals</w:t>
      </w:r>
      <w:r w:rsidR="008444CC">
        <w:t xml:space="preserve"> and to provide </w:t>
      </w:r>
      <w:r w:rsidR="00201805">
        <w:t>relevant information to the architect. In turn, the architect</w:t>
      </w:r>
      <w:r w:rsidR="00E0283F">
        <w:t xml:space="preserve"> assumes the primary responsibility for developing a design that addresses sustainability</w:t>
      </w:r>
      <w:r w:rsidR="00070E74">
        <w:t xml:space="preserve"> based on information the owner provides</w:t>
      </w:r>
      <w:r w:rsidR="003C6356">
        <w:t xml:space="preserve">. The Sustainability Exhibit </w:t>
      </w:r>
      <w:r w:rsidR="00482212">
        <w:t xml:space="preserve">describes the architect’s scope of services relating to </w:t>
      </w:r>
      <w:r w:rsidR="00DE50D2">
        <w:t>sustainability,</w:t>
      </w:r>
      <w:r w:rsidR="004F4C04">
        <w:t xml:space="preserve"> </w:t>
      </w:r>
      <w:r w:rsidR="00770028">
        <w:t xml:space="preserve">which includes </w:t>
      </w:r>
      <w:r w:rsidR="004F4C04">
        <w:t>holding a workshop or series of meetings</w:t>
      </w:r>
      <w:r w:rsidR="003D1598">
        <w:t xml:space="preserve"> with the appropriate project participants to focus on </w:t>
      </w:r>
      <w:r w:rsidR="00D3645E">
        <w:t xml:space="preserve">sustainability </w:t>
      </w:r>
      <w:r w:rsidR="00D3645E">
        <w:lastRenderedPageBreak/>
        <w:t>so that the architect can</w:t>
      </w:r>
      <w:r w:rsidR="00DE1F05">
        <w:t xml:space="preserve"> develop a plan for the owner’s review and approval.</w:t>
      </w:r>
      <w:r w:rsidR="00DE50D2">
        <w:t xml:space="preserve"> </w:t>
      </w:r>
      <w:r w:rsidR="006A78B6">
        <w:t xml:space="preserve">The architect will also </w:t>
      </w:r>
      <w:r w:rsidR="00952056">
        <w:t xml:space="preserve">provide </w:t>
      </w:r>
      <w:r w:rsidR="00C76BFA">
        <w:t xml:space="preserve">other basic </w:t>
      </w:r>
      <w:r w:rsidR="00952056">
        <w:t xml:space="preserve">services relating to </w:t>
      </w:r>
      <w:r w:rsidR="00EB4946">
        <w:t>sustainability matters</w:t>
      </w:r>
      <w:r w:rsidR="00407478">
        <w:t>, such as coordina</w:t>
      </w:r>
      <w:r w:rsidR="007335AE">
        <w:t>ting</w:t>
      </w:r>
      <w:r w:rsidR="00EB4946">
        <w:t xml:space="preserve"> with other project participants during the design</w:t>
      </w:r>
      <w:r w:rsidR="00952056">
        <w:t xml:space="preserve"> and construction</w:t>
      </w:r>
      <w:r w:rsidR="00EB4946">
        <w:t xml:space="preserve"> phrase</w:t>
      </w:r>
      <w:r w:rsidR="00952056">
        <w:t>s</w:t>
      </w:r>
      <w:r w:rsidR="007335AE">
        <w:t xml:space="preserve"> and </w:t>
      </w:r>
      <w:r w:rsidR="00E37CE1">
        <w:t>coordinating</w:t>
      </w:r>
      <w:r w:rsidR="00EB4946">
        <w:t xml:space="preserve"> </w:t>
      </w:r>
      <w:r w:rsidR="00DE50D2">
        <w:t xml:space="preserve">any </w:t>
      </w:r>
      <w:r w:rsidR="004F4C04">
        <w:t>related certification process</w:t>
      </w:r>
      <w:r w:rsidR="006A78B6">
        <w:t>.</w:t>
      </w:r>
      <w:r w:rsidR="0010105E">
        <w:t xml:space="preserve"> In turn, the Sustainability Exhibit </w:t>
      </w:r>
      <w:r w:rsidR="00B2602B">
        <w:t xml:space="preserve">specifies </w:t>
      </w:r>
      <w:r w:rsidR="00D17958">
        <w:t>the work and services</w:t>
      </w:r>
      <w:r w:rsidR="00DD50BF">
        <w:t xml:space="preserve"> that the contractor is to perform under the plan</w:t>
      </w:r>
      <w:r w:rsidR="00AB7558">
        <w:t>, including relevant documentation</w:t>
      </w:r>
      <w:r w:rsidR="00844A5F">
        <w:t xml:space="preserve"> and</w:t>
      </w:r>
      <w:r w:rsidR="00AB7558">
        <w:t xml:space="preserve"> </w:t>
      </w:r>
      <w:r w:rsidR="001E54DF">
        <w:t>waste management</w:t>
      </w:r>
      <w:r w:rsidR="00844A5F">
        <w:t>.</w:t>
      </w:r>
      <w:r w:rsidR="00C301C5">
        <w:t xml:space="preserve"> The</w:t>
      </w:r>
      <w:r w:rsidR="00CB5439">
        <w:t xml:space="preserve"> exhibit also provides for the</w:t>
      </w:r>
      <w:r w:rsidR="00C301C5">
        <w:t xml:space="preserve"> owner</w:t>
      </w:r>
      <w:r w:rsidR="00263E5D">
        <w:t xml:space="preserve"> </w:t>
      </w:r>
      <w:r w:rsidR="00CB5439">
        <w:t xml:space="preserve">to </w:t>
      </w:r>
      <w:r w:rsidR="00986913">
        <w:t>have</w:t>
      </w:r>
      <w:r w:rsidR="00C301C5">
        <w:t xml:space="preserve"> ongoing responsibilities </w:t>
      </w:r>
      <w:r w:rsidR="00263E5D">
        <w:t xml:space="preserve">relating to </w:t>
      </w:r>
      <w:r w:rsidR="002D26C6">
        <w:t>any certification requirements</w:t>
      </w:r>
      <w:r w:rsidR="00F84C9A">
        <w:t xml:space="preserve"> </w:t>
      </w:r>
      <w:r w:rsidR="003C1A9D">
        <w:t xml:space="preserve">and either </w:t>
      </w:r>
      <w:r w:rsidR="00484241">
        <w:t xml:space="preserve">to </w:t>
      </w:r>
      <w:r w:rsidR="003C1A9D">
        <w:t xml:space="preserve">retain the architect </w:t>
      </w:r>
      <w:r w:rsidR="00C03EC3">
        <w:t xml:space="preserve">in connection with a commissioning process </w:t>
      </w:r>
      <w:r w:rsidR="004E0BA6">
        <w:t xml:space="preserve">or </w:t>
      </w:r>
      <w:r w:rsidR="00451F5D">
        <w:t xml:space="preserve">to </w:t>
      </w:r>
      <w:r w:rsidR="004E0BA6">
        <w:t>engage another consultant</w:t>
      </w:r>
      <w:r w:rsidR="00451F5D">
        <w:t xml:space="preserve"> to</w:t>
      </w:r>
      <w:r w:rsidR="004E0BA6">
        <w:t xml:space="preserve"> provide commissi</w:t>
      </w:r>
      <w:r w:rsidR="005C6CAD">
        <w:t>oning services.</w:t>
      </w:r>
      <w:r w:rsidR="00756BC8">
        <w:t xml:space="preserve"> </w:t>
      </w:r>
      <w:r w:rsidR="00986913">
        <w:t>The exhibit can also include additional sustainability services that the architect will provide for additional compensation.</w:t>
      </w:r>
      <w:r w:rsidR="00E227E8">
        <w:t xml:space="preserve"> </w:t>
      </w:r>
    </w:p>
    <w:p w14:paraId="502E6154" w14:textId="0A8B6F33" w:rsidR="00E2217B" w:rsidRPr="006A420E" w:rsidRDefault="00E2217B" w:rsidP="006A420E">
      <w:pPr>
        <w:keepNext/>
      </w:pPr>
      <w:r>
        <w:tab/>
        <w:t xml:space="preserve">The AIA Sustainability Exhibit </w:t>
      </w:r>
      <w:r w:rsidR="00730019">
        <w:t xml:space="preserve">illustrates a framework for </w:t>
      </w:r>
      <w:r w:rsidR="006559A0">
        <w:t>incorporating</w:t>
      </w:r>
      <w:r w:rsidR="00730019">
        <w:t xml:space="preserve"> sustainability goals</w:t>
      </w:r>
      <w:r w:rsidR="00204E48">
        <w:t xml:space="preserve"> into </w:t>
      </w:r>
      <w:r w:rsidR="006559A0">
        <w:t>the contract documents</w:t>
      </w:r>
      <w:r w:rsidR="00204E48">
        <w:t xml:space="preserve">, but </w:t>
      </w:r>
      <w:r w:rsidR="002F434E">
        <w:t xml:space="preserve">the plan the architect develops for the owner’s review and approval must address many </w:t>
      </w:r>
      <w:r w:rsidR="008F0174">
        <w:t xml:space="preserve">other </w:t>
      </w:r>
      <w:r w:rsidR="002F434E">
        <w:t>details specific to the project</w:t>
      </w:r>
      <w:r w:rsidR="003B0765">
        <w:t>.</w:t>
      </w:r>
      <w:r w:rsidR="00C21EFA">
        <w:t xml:space="preserve"> These details include such matters </w:t>
      </w:r>
      <w:r w:rsidR="00C6586E">
        <w:t xml:space="preserve">as </w:t>
      </w:r>
      <w:r w:rsidR="006E6488">
        <w:t xml:space="preserve">specifying </w:t>
      </w:r>
      <w:r w:rsidR="00185B19">
        <w:t xml:space="preserve">measurable standards (e.g., </w:t>
      </w:r>
      <w:r w:rsidR="00036DFA">
        <w:t xml:space="preserve">those relating to </w:t>
      </w:r>
      <w:r w:rsidR="00490771">
        <w:t>greenhouse gas</w:t>
      </w:r>
      <w:r w:rsidR="00B238AB">
        <w:t xml:space="preserve"> emissions, energy </w:t>
      </w:r>
      <w:r w:rsidR="009B29E3">
        <w:t xml:space="preserve">efficiency, </w:t>
      </w:r>
      <w:r w:rsidR="000D3549">
        <w:t>renewable energy</w:t>
      </w:r>
      <w:r w:rsidR="00F14005">
        <w:t xml:space="preserve">, </w:t>
      </w:r>
      <w:r w:rsidR="002051B5">
        <w:t xml:space="preserve">sustainable </w:t>
      </w:r>
      <w:r w:rsidR="005C163A">
        <w:t>construction</w:t>
      </w:r>
      <w:r w:rsidR="00500B60">
        <w:t xml:space="preserve"> materials,</w:t>
      </w:r>
      <w:r w:rsidR="000D3549">
        <w:t xml:space="preserve"> </w:t>
      </w:r>
      <w:r w:rsidR="009B29E3">
        <w:t>or other conservation</w:t>
      </w:r>
      <w:r w:rsidR="00F255E0">
        <w:t xml:space="preserve"> objectives), </w:t>
      </w:r>
      <w:r w:rsidR="00F80CA5">
        <w:t>securing</w:t>
      </w:r>
      <w:r w:rsidR="00C6586E">
        <w:t xml:space="preserve"> </w:t>
      </w:r>
      <w:r w:rsidR="00895CF2">
        <w:t xml:space="preserve">any desired sustainability designation for the completed project </w:t>
      </w:r>
      <w:r w:rsidR="007C6616">
        <w:t>(</w:t>
      </w:r>
      <w:r w:rsidR="00895CF2">
        <w:t>e.g.</w:t>
      </w:r>
      <w:r w:rsidR="00316523">
        <w:t xml:space="preserve"> a particular certification from the US Green Building Council)</w:t>
      </w:r>
      <w:r w:rsidR="001D3CD5">
        <w:t>,</w:t>
      </w:r>
      <w:r w:rsidR="00E3411C">
        <w:t xml:space="preserve"> </w:t>
      </w:r>
      <w:r w:rsidR="00F80CA5">
        <w:t>receiving</w:t>
      </w:r>
      <w:r w:rsidR="00E3411C">
        <w:t xml:space="preserve"> </w:t>
      </w:r>
      <w:r w:rsidR="00294866">
        <w:t>any tax</w:t>
      </w:r>
      <w:r w:rsidR="00B231EA">
        <w:t>,</w:t>
      </w:r>
      <w:r w:rsidR="00294866">
        <w:t xml:space="preserve"> economic </w:t>
      </w:r>
      <w:r w:rsidR="00B231EA">
        <w:t xml:space="preserve"> or other governmental </w:t>
      </w:r>
      <w:r w:rsidR="00294866">
        <w:t>incentives</w:t>
      </w:r>
      <w:r w:rsidR="00F80CA5">
        <w:t>,</w:t>
      </w:r>
      <w:r w:rsidR="001D3CD5">
        <w:t xml:space="preserve"> </w:t>
      </w:r>
      <w:r w:rsidR="00F255E0">
        <w:t xml:space="preserve">and </w:t>
      </w:r>
      <w:r w:rsidR="001D3CD5">
        <w:t>providing for any</w:t>
      </w:r>
      <w:r w:rsidR="00F255E0">
        <w:t xml:space="preserve"> related</w:t>
      </w:r>
      <w:r w:rsidR="001D3CD5">
        <w:t xml:space="preserve"> performance guarantees</w:t>
      </w:r>
      <w:r w:rsidR="00941577">
        <w:t xml:space="preserve"> and performance tests</w:t>
      </w:r>
      <w:r w:rsidR="00F255E0">
        <w:t>.</w:t>
      </w:r>
      <w:r w:rsidR="00225371">
        <w:t xml:space="preserve"> </w:t>
      </w:r>
      <w:r w:rsidR="000D5CD2">
        <w:t>The exhibit can also be coordinated with other contract provisions relating to sustainability, such as those suggested in the resources discussed above in this lesson.</w:t>
      </w:r>
      <w:r w:rsidR="000D5CD2">
        <w:t xml:space="preserve"> </w:t>
      </w:r>
      <w:r w:rsidR="00225371">
        <w:t>The AIA website</w:t>
      </w:r>
      <w:r w:rsidR="00317BC2">
        <w:t>’s Resource Center page</w:t>
      </w:r>
      <w:r w:rsidR="00225371">
        <w:t xml:space="preserve"> includes several resources</w:t>
      </w:r>
      <w:r w:rsidR="00317BC2">
        <w:t xml:space="preserve"> in addition to the AIA Sustainability Exhibit</w:t>
      </w:r>
      <w:r w:rsidR="00225371">
        <w:t xml:space="preserve"> </w:t>
      </w:r>
      <w:r w:rsidR="00BE354C">
        <w:t xml:space="preserve">that are </w:t>
      </w:r>
      <w:r w:rsidR="00225371">
        <w:t xml:space="preserve">relevant to sustainable </w:t>
      </w:r>
      <w:r w:rsidR="00BE354C">
        <w:t xml:space="preserve">design and </w:t>
      </w:r>
      <w:r w:rsidR="00225371">
        <w:t>construction</w:t>
      </w:r>
      <w:r w:rsidR="00BE354C">
        <w:t>.</w:t>
      </w:r>
    </w:p>
    <w:sectPr w:rsidR="00E2217B" w:rsidRPr="006A42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030A" w14:textId="77777777" w:rsidR="00CC03D0" w:rsidRDefault="00CC03D0" w:rsidP="00E86123">
      <w:pPr>
        <w:spacing w:after="0" w:line="240" w:lineRule="auto"/>
      </w:pPr>
      <w:r>
        <w:separator/>
      </w:r>
    </w:p>
  </w:endnote>
  <w:endnote w:type="continuationSeparator" w:id="0">
    <w:p w14:paraId="7FBAE70B" w14:textId="77777777" w:rsidR="00CC03D0" w:rsidRDefault="00CC03D0" w:rsidP="00E8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157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1E5A6" w14:textId="7E7DD739" w:rsidR="00E86123" w:rsidRDefault="00E86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8BE28" w14:textId="77777777" w:rsidR="00E86123" w:rsidRDefault="00E86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CB2A" w14:textId="77777777" w:rsidR="00CC03D0" w:rsidRDefault="00CC03D0" w:rsidP="00E86123">
      <w:pPr>
        <w:spacing w:after="0" w:line="240" w:lineRule="auto"/>
      </w:pPr>
      <w:r>
        <w:separator/>
      </w:r>
    </w:p>
  </w:footnote>
  <w:footnote w:type="continuationSeparator" w:id="0">
    <w:p w14:paraId="17805783" w14:textId="77777777" w:rsidR="00CC03D0" w:rsidRDefault="00CC03D0" w:rsidP="00E8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52AE" w14:textId="3C709B34" w:rsidR="00E86123" w:rsidRDefault="00E86123">
    <w:pPr>
      <w:pStyle w:val="Header"/>
    </w:pPr>
    <w:r>
      <w:t xml:space="preserve">Carl J. Circo © </w:t>
    </w:r>
    <w:r w:rsidR="009C6A04">
      <w:t>June</w:t>
    </w:r>
    <w:r>
      <w:t xml:space="preserve"> 2026</w:t>
    </w:r>
  </w:p>
  <w:p w14:paraId="7333BB87" w14:textId="77777777" w:rsidR="00E86123" w:rsidRDefault="00E86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749"/>
    <w:multiLevelType w:val="hybridMultilevel"/>
    <w:tmpl w:val="A74C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05A7C"/>
    <w:multiLevelType w:val="hybridMultilevel"/>
    <w:tmpl w:val="2E327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1428111">
    <w:abstractNumId w:val="1"/>
  </w:num>
  <w:num w:numId="2" w16cid:durableId="116058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23"/>
    <w:rsid w:val="00004DA8"/>
    <w:rsid w:val="000074C8"/>
    <w:rsid w:val="00011108"/>
    <w:rsid w:val="00020F38"/>
    <w:rsid w:val="00020FF0"/>
    <w:rsid w:val="00022287"/>
    <w:rsid w:val="00023150"/>
    <w:rsid w:val="000234C3"/>
    <w:rsid w:val="00023F47"/>
    <w:rsid w:val="000252C9"/>
    <w:rsid w:val="0002550D"/>
    <w:rsid w:val="00027C20"/>
    <w:rsid w:val="00033309"/>
    <w:rsid w:val="0003626B"/>
    <w:rsid w:val="000367E0"/>
    <w:rsid w:val="00036DFA"/>
    <w:rsid w:val="00036E99"/>
    <w:rsid w:val="000375C3"/>
    <w:rsid w:val="0004301A"/>
    <w:rsid w:val="000448C9"/>
    <w:rsid w:val="00045D99"/>
    <w:rsid w:val="00051EDA"/>
    <w:rsid w:val="00054303"/>
    <w:rsid w:val="00057253"/>
    <w:rsid w:val="00057959"/>
    <w:rsid w:val="00062FD1"/>
    <w:rsid w:val="0006377C"/>
    <w:rsid w:val="00063A3D"/>
    <w:rsid w:val="00063C77"/>
    <w:rsid w:val="000641FB"/>
    <w:rsid w:val="000643F3"/>
    <w:rsid w:val="00066D2F"/>
    <w:rsid w:val="00070E74"/>
    <w:rsid w:val="00072B81"/>
    <w:rsid w:val="00076097"/>
    <w:rsid w:val="00077B8D"/>
    <w:rsid w:val="000810ED"/>
    <w:rsid w:val="0008533B"/>
    <w:rsid w:val="000859FF"/>
    <w:rsid w:val="00086C45"/>
    <w:rsid w:val="000933AD"/>
    <w:rsid w:val="0009409A"/>
    <w:rsid w:val="00094E48"/>
    <w:rsid w:val="00096075"/>
    <w:rsid w:val="00096129"/>
    <w:rsid w:val="000A01D5"/>
    <w:rsid w:val="000A238F"/>
    <w:rsid w:val="000A4315"/>
    <w:rsid w:val="000A4E69"/>
    <w:rsid w:val="000A51D0"/>
    <w:rsid w:val="000B3DC6"/>
    <w:rsid w:val="000B4A17"/>
    <w:rsid w:val="000B6A90"/>
    <w:rsid w:val="000B75C8"/>
    <w:rsid w:val="000B79CE"/>
    <w:rsid w:val="000B7E5A"/>
    <w:rsid w:val="000C14D8"/>
    <w:rsid w:val="000C30BF"/>
    <w:rsid w:val="000D09E6"/>
    <w:rsid w:val="000D0A13"/>
    <w:rsid w:val="000D2DD6"/>
    <w:rsid w:val="000D2E79"/>
    <w:rsid w:val="000D3549"/>
    <w:rsid w:val="000D4B8A"/>
    <w:rsid w:val="000D4CC9"/>
    <w:rsid w:val="000D51F2"/>
    <w:rsid w:val="000D5CD2"/>
    <w:rsid w:val="000D5EFF"/>
    <w:rsid w:val="000E2597"/>
    <w:rsid w:val="000E3B39"/>
    <w:rsid w:val="0010105E"/>
    <w:rsid w:val="00102730"/>
    <w:rsid w:val="001050A3"/>
    <w:rsid w:val="001054C3"/>
    <w:rsid w:val="00107E8C"/>
    <w:rsid w:val="00110A08"/>
    <w:rsid w:val="00112650"/>
    <w:rsid w:val="00122725"/>
    <w:rsid w:val="00123BF7"/>
    <w:rsid w:val="001243DC"/>
    <w:rsid w:val="001313AA"/>
    <w:rsid w:val="00131699"/>
    <w:rsid w:val="00132C03"/>
    <w:rsid w:val="00134599"/>
    <w:rsid w:val="00134A38"/>
    <w:rsid w:val="00141030"/>
    <w:rsid w:val="001446CA"/>
    <w:rsid w:val="001456FA"/>
    <w:rsid w:val="00152FA4"/>
    <w:rsid w:val="00153738"/>
    <w:rsid w:val="00154522"/>
    <w:rsid w:val="00160D52"/>
    <w:rsid w:val="00163A5F"/>
    <w:rsid w:val="00164CF7"/>
    <w:rsid w:val="001652E6"/>
    <w:rsid w:val="00171897"/>
    <w:rsid w:val="00171FED"/>
    <w:rsid w:val="00174E05"/>
    <w:rsid w:val="00181B75"/>
    <w:rsid w:val="00183EF9"/>
    <w:rsid w:val="00184039"/>
    <w:rsid w:val="00185A9D"/>
    <w:rsid w:val="00185B19"/>
    <w:rsid w:val="00187131"/>
    <w:rsid w:val="00187657"/>
    <w:rsid w:val="00187ADD"/>
    <w:rsid w:val="001911FD"/>
    <w:rsid w:val="00192DB1"/>
    <w:rsid w:val="001947D7"/>
    <w:rsid w:val="00195854"/>
    <w:rsid w:val="00196B58"/>
    <w:rsid w:val="00196F9A"/>
    <w:rsid w:val="00197F85"/>
    <w:rsid w:val="001A628B"/>
    <w:rsid w:val="001A6878"/>
    <w:rsid w:val="001A6CCD"/>
    <w:rsid w:val="001A7FE2"/>
    <w:rsid w:val="001B0B0F"/>
    <w:rsid w:val="001B0EA8"/>
    <w:rsid w:val="001B0FF7"/>
    <w:rsid w:val="001B540C"/>
    <w:rsid w:val="001B5CD9"/>
    <w:rsid w:val="001B6533"/>
    <w:rsid w:val="001C078C"/>
    <w:rsid w:val="001C2EDD"/>
    <w:rsid w:val="001C3178"/>
    <w:rsid w:val="001C391C"/>
    <w:rsid w:val="001C5607"/>
    <w:rsid w:val="001C566D"/>
    <w:rsid w:val="001C7778"/>
    <w:rsid w:val="001D1C6F"/>
    <w:rsid w:val="001D2FEE"/>
    <w:rsid w:val="001D376E"/>
    <w:rsid w:val="001D3CD5"/>
    <w:rsid w:val="001D415C"/>
    <w:rsid w:val="001D4866"/>
    <w:rsid w:val="001D7E8C"/>
    <w:rsid w:val="001E1DB5"/>
    <w:rsid w:val="001E285C"/>
    <w:rsid w:val="001E3B01"/>
    <w:rsid w:val="001E5244"/>
    <w:rsid w:val="001E54DF"/>
    <w:rsid w:val="001E6ADB"/>
    <w:rsid w:val="001E6BB2"/>
    <w:rsid w:val="001F33CA"/>
    <w:rsid w:val="00200002"/>
    <w:rsid w:val="00201805"/>
    <w:rsid w:val="00203B7B"/>
    <w:rsid w:val="00203FBE"/>
    <w:rsid w:val="00204E48"/>
    <w:rsid w:val="002051B5"/>
    <w:rsid w:val="002072B9"/>
    <w:rsid w:val="00207672"/>
    <w:rsid w:val="00211E38"/>
    <w:rsid w:val="002126FE"/>
    <w:rsid w:val="00214DDF"/>
    <w:rsid w:val="002162F4"/>
    <w:rsid w:val="00221F90"/>
    <w:rsid w:val="00225371"/>
    <w:rsid w:val="00225D93"/>
    <w:rsid w:val="002271FD"/>
    <w:rsid w:val="00227BF0"/>
    <w:rsid w:val="00230C40"/>
    <w:rsid w:val="002341ED"/>
    <w:rsid w:val="00235476"/>
    <w:rsid w:val="00245642"/>
    <w:rsid w:val="00245F10"/>
    <w:rsid w:val="0024651E"/>
    <w:rsid w:val="00247996"/>
    <w:rsid w:val="00251CDD"/>
    <w:rsid w:val="00252897"/>
    <w:rsid w:val="00253D0F"/>
    <w:rsid w:val="00253D32"/>
    <w:rsid w:val="00256E76"/>
    <w:rsid w:val="00257F4D"/>
    <w:rsid w:val="00263E5D"/>
    <w:rsid w:val="002702A6"/>
    <w:rsid w:val="002712C8"/>
    <w:rsid w:val="0027157A"/>
    <w:rsid w:val="00272989"/>
    <w:rsid w:val="002747D4"/>
    <w:rsid w:val="0027621A"/>
    <w:rsid w:val="00277D0C"/>
    <w:rsid w:val="002806F8"/>
    <w:rsid w:val="0028083E"/>
    <w:rsid w:val="002828DE"/>
    <w:rsid w:val="00286758"/>
    <w:rsid w:val="00287540"/>
    <w:rsid w:val="002925BD"/>
    <w:rsid w:val="00292823"/>
    <w:rsid w:val="00294866"/>
    <w:rsid w:val="0029580A"/>
    <w:rsid w:val="00297DC6"/>
    <w:rsid w:val="002A351A"/>
    <w:rsid w:val="002A51FB"/>
    <w:rsid w:val="002A58DF"/>
    <w:rsid w:val="002A68AE"/>
    <w:rsid w:val="002A68EF"/>
    <w:rsid w:val="002A7683"/>
    <w:rsid w:val="002A769D"/>
    <w:rsid w:val="002A7C3C"/>
    <w:rsid w:val="002B1B37"/>
    <w:rsid w:val="002B1C27"/>
    <w:rsid w:val="002B276B"/>
    <w:rsid w:val="002B2D93"/>
    <w:rsid w:val="002B33F8"/>
    <w:rsid w:val="002B4382"/>
    <w:rsid w:val="002B4E45"/>
    <w:rsid w:val="002B5FD0"/>
    <w:rsid w:val="002C02F4"/>
    <w:rsid w:val="002C1790"/>
    <w:rsid w:val="002C1DBE"/>
    <w:rsid w:val="002C2D4B"/>
    <w:rsid w:val="002C301F"/>
    <w:rsid w:val="002C3CC8"/>
    <w:rsid w:val="002C6E1D"/>
    <w:rsid w:val="002D26C6"/>
    <w:rsid w:val="002D3A9E"/>
    <w:rsid w:val="002D3D90"/>
    <w:rsid w:val="002D4A6B"/>
    <w:rsid w:val="002D5740"/>
    <w:rsid w:val="002D78E4"/>
    <w:rsid w:val="002E159A"/>
    <w:rsid w:val="002E18FD"/>
    <w:rsid w:val="002E2481"/>
    <w:rsid w:val="002E2541"/>
    <w:rsid w:val="002E6E73"/>
    <w:rsid w:val="002F09BB"/>
    <w:rsid w:val="002F434E"/>
    <w:rsid w:val="002F7834"/>
    <w:rsid w:val="00300C40"/>
    <w:rsid w:val="003025EF"/>
    <w:rsid w:val="00302A2D"/>
    <w:rsid w:val="003054CA"/>
    <w:rsid w:val="0031417C"/>
    <w:rsid w:val="003144A1"/>
    <w:rsid w:val="00314D68"/>
    <w:rsid w:val="003164B0"/>
    <w:rsid w:val="00316523"/>
    <w:rsid w:val="00316DA5"/>
    <w:rsid w:val="00317BC2"/>
    <w:rsid w:val="00321B5E"/>
    <w:rsid w:val="00326ABE"/>
    <w:rsid w:val="003277BD"/>
    <w:rsid w:val="00333319"/>
    <w:rsid w:val="00333DD8"/>
    <w:rsid w:val="0033688C"/>
    <w:rsid w:val="00337CB2"/>
    <w:rsid w:val="00337E1E"/>
    <w:rsid w:val="00341B68"/>
    <w:rsid w:val="00341D0B"/>
    <w:rsid w:val="003459B1"/>
    <w:rsid w:val="00350988"/>
    <w:rsid w:val="003546E3"/>
    <w:rsid w:val="00356CC2"/>
    <w:rsid w:val="003578BA"/>
    <w:rsid w:val="00360523"/>
    <w:rsid w:val="00362773"/>
    <w:rsid w:val="00362873"/>
    <w:rsid w:val="00370FFD"/>
    <w:rsid w:val="003719C5"/>
    <w:rsid w:val="003720B2"/>
    <w:rsid w:val="00374E29"/>
    <w:rsid w:val="00377E3A"/>
    <w:rsid w:val="00380646"/>
    <w:rsid w:val="0038070E"/>
    <w:rsid w:val="00383675"/>
    <w:rsid w:val="00383A1C"/>
    <w:rsid w:val="00385308"/>
    <w:rsid w:val="003857FB"/>
    <w:rsid w:val="00395FB7"/>
    <w:rsid w:val="003A292B"/>
    <w:rsid w:val="003A2BF9"/>
    <w:rsid w:val="003A6006"/>
    <w:rsid w:val="003A74EC"/>
    <w:rsid w:val="003B0130"/>
    <w:rsid w:val="003B01B2"/>
    <w:rsid w:val="003B0765"/>
    <w:rsid w:val="003B0E60"/>
    <w:rsid w:val="003B1881"/>
    <w:rsid w:val="003B2063"/>
    <w:rsid w:val="003B2E58"/>
    <w:rsid w:val="003B3562"/>
    <w:rsid w:val="003B3B89"/>
    <w:rsid w:val="003B627E"/>
    <w:rsid w:val="003B6A8B"/>
    <w:rsid w:val="003C1A9D"/>
    <w:rsid w:val="003C1CFD"/>
    <w:rsid w:val="003C1E23"/>
    <w:rsid w:val="003C20EE"/>
    <w:rsid w:val="003C464D"/>
    <w:rsid w:val="003C6356"/>
    <w:rsid w:val="003C656F"/>
    <w:rsid w:val="003D1598"/>
    <w:rsid w:val="003D449E"/>
    <w:rsid w:val="003D536A"/>
    <w:rsid w:val="003D5B71"/>
    <w:rsid w:val="003D63C4"/>
    <w:rsid w:val="003E42B9"/>
    <w:rsid w:val="003E7294"/>
    <w:rsid w:val="003F4C1B"/>
    <w:rsid w:val="003F4F53"/>
    <w:rsid w:val="003F5E52"/>
    <w:rsid w:val="003F6A3B"/>
    <w:rsid w:val="004029D3"/>
    <w:rsid w:val="00405884"/>
    <w:rsid w:val="00407478"/>
    <w:rsid w:val="00407A74"/>
    <w:rsid w:val="00407BF0"/>
    <w:rsid w:val="00413A9F"/>
    <w:rsid w:val="004146C5"/>
    <w:rsid w:val="0041583B"/>
    <w:rsid w:val="00416074"/>
    <w:rsid w:val="004174C4"/>
    <w:rsid w:val="00424A65"/>
    <w:rsid w:val="00424C03"/>
    <w:rsid w:val="004257A1"/>
    <w:rsid w:val="00430053"/>
    <w:rsid w:val="00431CC1"/>
    <w:rsid w:val="004378C4"/>
    <w:rsid w:val="00443C4D"/>
    <w:rsid w:val="0044446D"/>
    <w:rsid w:val="00444559"/>
    <w:rsid w:val="0044568D"/>
    <w:rsid w:val="00451F5D"/>
    <w:rsid w:val="00453BEB"/>
    <w:rsid w:val="00455C92"/>
    <w:rsid w:val="00461F26"/>
    <w:rsid w:val="00462104"/>
    <w:rsid w:val="00462A63"/>
    <w:rsid w:val="00462ACE"/>
    <w:rsid w:val="00463764"/>
    <w:rsid w:val="00465662"/>
    <w:rsid w:val="00467EE7"/>
    <w:rsid w:val="00467F42"/>
    <w:rsid w:val="00470A5F"/>
    <w:rsid w:val="00471AF3"/>
    <w:rsid w:val="00473113"/>
    <w:rsid w:val="004810D2"/>
    <w:rsid w:val="00482212"/>
    <w:rsid w:val="00484241"/>
    <w:rsid w:val="00484262"/>
    <w:rsid w:val="00484BD8"/>
    <w:rsid w:val="00485E46"/>
    <w:rsid w:val="00486B72"/>
    <w:rsid w:val="00490771"/>
    <w:rsid w:val="00491EAC"/>
    <w:rsid w:val="00492EDF"/>
    <w:rsid w:val="00493120"/>
    <w:rsid w:val="0049518F"/>
    <w:rsid w:val="00496CFF"/>
    <w:rsid w:val="004A0C14"/>
    <w:rsid w:val="004A2ABE"/>
    <w:rsid w:val="004A2B27"/>
    <w:rsid w:val="004A3B77"/>
    <w:rsid w:val="004A4A58"/>
    <w:rsid w:val="004A58FF"/>
    <w:rsid w:val="004A7C96"/>
    <w:rsid w:val="004B0182"/>
    <w:rsid w:val="004B2385"/>
    <w:rsid w:val="004B2870"/>
    <w:rsid w:val="004C1A24"/>
    <w:rsid w:val="004C6ADC"/>
    <w:rsid w:val="004D380D"/>
    <w:rsid w:val="004D48A0"/>
    <w:rsid w:val="004D4AE5"/>
    <w:rsid w:val="004D561C"/>
    <w:rsid w:val="004D6A44"/>
    <w:rsid w:val="004D778E"/>
    <w:rsid w:val="004E083D"/>
    <w:rsid w:val="004E0BA6"/>
    <w:rsid w:val="004E4AAB"/>
    <w:rsid w:val="004E63F0"/>
    <w:rsid w:val="004F3F52"/>
    <w:rsid w:val="004F4C04"/>
    <w:rsid w:val="004F77E0"/>
    <w:rsid w:val="00500B60"/>
    <w:rsid w:val="00500C22"/>
    <w:rsid w:val="00500D09"/>
    <w:rsid w:val="0050203B"/>
    <w:rsid w:val="0050234B"/>
    <w:rsid w:val="00512159"/>
    <w:rsid w:val="00512A75"/>
    <w:rsid w:val="0051386E"/>
    <w:rsid w:val="00517602"/>
    <w:rsid w:val="0052037E"/>
    <w:rsid w:val="00520496"/>
    <w:rsid w:val="00521D04"/>
    <w:rsid w:val="00522570"/>
    <w:rsid w:val="0053058A"/>
    <w:rsid w:val="0053110D"/>
    <w:rsid w:val="00537CE8"/>
    <w:rsid w:val="00544AF7"/>
    <w:rsid w:val="00545658"/>
    <w:rsid w:val="00545C7C"/>
    <w:rsid w:val="00546761"/>
    <w:rsid w:val="00550331"/>
    <w:rsid w:val="0055511C"/>
    <w:rsid w:val="00555221"/>
    <w:rsid w:val="0055526D"/>
    <w:rsid w:val="00555C4A"/>
    <w:rsid w:val="005561EF"/>
    <w:rsid w:val="0055713A"/>
    <w:rsid w:val="00565EBF"/>
    <w:rsid w:val="005705CB"/>
    <w:rsid w:val="005706E3"/>
    <w:rsid w:val="005714AD"/>
    <w:rsid w:val="00584A8F"/>
    <w:rsid w:val="00585F42"/>
    <w:rsid w:val="005863EB"/>
    <w:rsid w:val="00590278"/>
    <w:rsid w:val="00592554"/>
    <w:rsid w:val="005946D9"/>
    <w:rsid w:val="00595CA4"/>
    <w:rsid w:val="005960C6"/>
    <w:rsid w:val="005A0E51"/>
    <w:rsid w:val="005A2CAF"/>
    <w:rsid w:val="005A4875"/>
    <w:rsid w:val="005A69D5"/>
    <w:rsid w:val="005B500A"/>
    <w:rsid w:val="005C163A"/>
    <w:rsid w:val="005C1D13"/>
    <w:rsid w:val="005C2C6F"/>
    <w:rsid w:val="005C6CAD"/>
    <w:rsid w:val="005D5C70"/>
    <w:rsid w:val="005D7E8F"/>
    <w:rsid w:val="005E201B"/>
    <w:rsid w:val="005E445D"/>
    <w:rsid w:val="005E4B87"/>
    <w:rsid w:val="005F0280"/>
    <w:rsid w:val="005F1391"/>
    <w:rsid w:val="005F15E1"/>
    <w:rsid w:val="005F1BB9"/>
    <w:rsid w:val="005F1E66"/>
    <w:rsid w:val="005F2546"/>
    <w:rsid w:val="005F588A"/>
    <w:rsid w:val="005F5D92"/>
    <w:rsid w:val="005F6759"/>
    <w:rsid w:val="00600980"/>
    <w:rsid w:val="00601FDD"/>
    <w:rsid w:val="00603BA3"/>
    <w:rsid w:val="00604874"/>
    <w:rsid w:val="006056FB"/>
    <w:rsid w:val="006067E7"/>
    <w:rsid w:val="00611488"/>
    <w:rsid w:val="00611B02"/>
    <w:rsid w:val="00611E38"/>
    <w:rsid w:val="0061275B"/>
    <w:rsid w:val="00612FEA"/>
    <w:rsid w:val="00625B87"/>
    <w:rsid w:val="00626470"/>
    <w:rsid w:val="00631862"/>
    <w:rsid w:val="00633CD2"/>
    <w:rsid w:val="0063641B"/>
    <w:rsid w:val="00637396"/>
    <w:rsid w:val="00637C33"/>
    <w:rsid w:val="00640C8A"/>
    <w:rsid w:val="00644B02"/>
    <w:rsid w:val="00644EFE"/>
    <w:rsid w:val="00646C07"/>
    <w:rsid w:val="00646F0D"/>
    <w:rsid w:val="0064774D"/>
    <w:rsid w:val="00655215"/>
    <w:rsid w:val="006555BD"/>
    <w:rsid w:val="006559A0"/>
    <w:rsid w:val="00660968"/>
    <w:rsid w:val="006616CD"/>
    <w:rsid w:val="00661B70"/>
    <w:rsid w:val="006630FA"/>
    <w:rsid w:val="006645A5"/>
    <w:rsid w:val="00667951"/>
    <w:rsid w:val="006701BA"/>
    <w:rsid w:val="00670C3B"/>
    <w:rsid w:val="006726C7"/>
    <w:rsid w:val="00675E89"/>
    <w:rsid w:val="006768F6"/>
    <w:rsid w:val="006774BF"/>
    <w:rsid w:val="00683B2B"/>
    <w:rsid w:val="00683CDD"/>
    <w:rsid w:val="00683CF3"/>
    <w:rsid w:val="00684F45"/>
    <w:rsid w:val="00686215"/>
    <w:rsid w:val="00686F86"/>
    <w:rsid w:val="006901B7"/>
    <w:rsid w:val="00697293"/>
    <w:rsid w:val="006A176C"/>
    <w:rsid w:val="006A420E"/>
    <w:rsid w:val="006A4EE0"/>
    <w:rsid w:val="006A6143"/>
    <w:rsid w:val="006A64C1"/>
    <w:rsid w:val="006A69DF"/>
    <w:rsid w:val="006A6FCD"/>
    <w:rsid w:val="006A78B6"/>
    <w:rsid w:val="006B2D5B"/>
    <w:rsid w:val="006B5DEE"/>
    <w:rsid w:val="006B74EA"/>
    <w:rsid w:val="006C015F"/>
    <w:rsid w:val="006C1109"/>
    <w:rsid w:val="006C1845"/>
    <w:rsid w:val="006C35F4"/>
    <w:rsid w:val="006C3843"/>
    <w:rsid w:val="006C4ADD"/>
    <w:rsid w:val="006C6495"/>
    <w:rsid w:val="006C7211"/>
    <w:rsid w:val="006D06EF"/>
    <w:rsid w:val="006D3669"/>
    <w:rsid w:val="006D3FF0"/>
    <w:rsid w:val="006D5125"/>
    <w:rsid w:val="006E005D"/>
    <w:rsid w:val="006E09B8"/>
    <w:rsid w:val="006E3A9F"/>
    <w:rsid w:val="006E41C9"/>
    <w:rsid w:val="006E41EA"/>
    <w:rsid w:val="006E6488"/>
    <w:rsid w:val="006E720B"/>
    <w:rsid w:val="006F142B"/>
    <w:rsid w:val="006F2463"/>
    <w:rsid w:val="006F3C8D"/>
    <w:rsid w:val="006F7BD2"/>
    <w:rsid w:val="0070222E"/>
    <w:rsid w:val="00702E03"/>
    <w:rsid w:val="007043E4"/>
    <w:rsid w:val="0071104A"/>
    <w:rsid w:val="00711FB7"/>
    <w:rsid w:val="00712C34"/>
    <w:rsid w:val="00716CE0"/>
    <w:rsid w:val="0071787B"/>
    <w:rsid w:val="00721721"/>
    <w:rsid w:val="00724EC8"/>
    <w:rsid w:val="00730019"/>
    <w:rsid w:val="007335AE"/>
    <w:rsid w:val="00736DBC"/>
    <w:rsid w:val="0074475C"/>
    <w:rsid w:val="007456A9"/>
    <w:rsid w:val="00746D64"/>
    <w:rsid w:val="00747425"/>
    <w:rsid w:val="00747C7F"/>
    <w:rsid w:val="00747DCD"/>
    <w:rsid w:val="0075202C"/>
    <w:rsid w:val="00752F9B"/>
    <w:rsid w:val="007534A9"/>
    <w:rsid w:val="007555B1"/>
    <w:rsid w:val="007562A4"/>
    <w:rsid w:val="007569E9"/>
    <w:rsid w:val="00756BC8"/>
    <w:rsid w:val="007578CF"/>
    <w:rsid w:val="00761931"/>
    <w:rsid w:val="00762A85"/>
    <w:rsid w:val="0076785A"/>
    <w:rsid w:val="00770028"/>
    <w:rsid w:val="00774721"/>
    <w:rsid w:val="00775B11"/>
    <w:rsid w:val="007914ED"/>
    <w:rsid w:val="00791C61"/>
    <w:rsid w:val="007957F5"/>
    <w:rsid w:val="007A1996"/>
    <w:rsid w:val="007B3BAF"/>
    <w:rsid w:val="007C4A73"/>
    <w:rsid w:val="007C6040"/>
    <w:rsid w:val="007C6616"/>
    <w:rsid w:val="007C77F4"/>
    <w:rsid w:val="007D0DA6"/>
    <w:rsid w:val="007D0E5F"/>
    <w:rsid w:val="007D1EBF"/>
    <w:rsid w:val="007D4576"/>
    <w:rsid w:val="007D636E"/>
    <w:rsid w:val="007E0D69"/>
    <w:rsid w:val="007E2C25"/>
    <w:rsid w:val="007E50BE"/>
    <w:rsid w:val="007F21F1"/>
    <w:rsid w:val="00800BEB"/>
    <w:rsid w:val="008014BB"/>
    <w:rsid w:val="00801F30"/>
    <w:rsid w:val="008035A8"/>
    <w:rsid w:val="00803C00"/>
    <w:rsid w:val="0081394B"/>
    <w:rsid w:val="00813CF8"/>
    <w:rsid w:val="00813E22"/>
    <w:rsid w:val="00820D70"/>
    <w:rsid w:val="0082479C"/>
    <w:rsid w:val="00824C57"/>
    <w:rsid w:val="008277E2"/>
    <w:rsid w:val="008366BE"/>
    <w:rsid w:val="008405E1"/>
    <w:rsid w:val="00841DAA"/>
    <w:rsid w:val="008444CC"/>
    <w:rsid w:val="00844A5F"/>
    <w:rsid w:val="0085006C"/>
    <w:rsid w:val="00851332"/>
    <w:rsid w:val="00852609"/>
    <w:rsid w:val="00856153"/>
    <w:rsid w:val="00856316"/>
    <w:rsid w:val="00862506"/>
    <w:rsid w:val="00864766"/>
    <w:rsid w:val="008658C1"/>
    <w:rsid w:val="00866EAA"/>
    <w:rsid w:val="00867A41"/>
    <w:rsid w:val="008709A7"/>
    <w:rsid w:val="00871456"/>
    <w:rsid w:val="00873BB0"/>
    <w:rsid w:val="008765BE"/>
    <w:rsid w:val="008775DF"/>
    <w:rsid w:val="008823C7"/>
    <w:rsid w:val="0088430B"/>
    <w:rsid w:val="008843E7"/>
    <w:rsid w:val="00885128"/>
    <w:rsid w:val="008878EA"/>
    <w:rsid w:val="00890F1B"/>
    <w:rsid w:val="00891A10"/>
    <w:rsid w:val="00893BB5"/>
    <w:rsid w:val="0089418F"/>
    <w:rsid w:val="0089541F"/>
    <w:rsid w:val="00895CF2"/>
    <w:rsid w:val="00896642"/>
    <w:rsid w:val="00897CBE"/>
    <w:rsid w:val="008A0E82"/>
    <w:rsid w:val="008A212E"/>
    <w:rsid w:val="008A353F"/>
    <w:rsid w:val="008A5E28"/>
    <w:rsid w:val="008B1C4E"/>
    <w:rsid w:val="008B5029"/>
    <w:rsid w:val="008C167F"/>
    <w:rsid w:val="008C1DAC"/>
    <w:rsid w:val="008C2B2C"/>
    <w:rsid w:val="008C4BE0"/>
    <w:rsid w:val="008C4C40"/>
    <w:rsid w:val="008D16EC"/>
    <w:rsid w:val="008D2CE2"/>
    <w:rsid w:val="008D4259"/>
    <w:rsid w:val="008D437C"/>
    <w:rsid w:val="008D4ED2"/>
    <w:rsid w:val="008D516B"/>
    <w:rsid w:val="008D6FD5"/>
    <w:rsid w:val="008D773F"/>
    <w:rsid w:val="008E148B"/>
    <w:rsid w:val="008E23F8"/>
    <w:rsid w:val="008E3A50"/>
    <w:rsid w:val="008E4124"/>
    <w:rsid w:val="008E4223"/>
    <w:rsid w:val="008F0174"/>
    <w:rsid w:val="008F10F6"/>
    <w:rsid w:val="008F1275"/>
    <w:rsid w:val="008F2AFD"/>
    <w:rsid w:val="008F2E6A"/>
    <w:rsid w:val="008F360B"/>
    <w:rsid w:val="008F4624"/>
    <w:rsid w:val="008F49C3"/>
    <w:rsid w:val="008F51AE"/>
    <w:rsid w:val="00900981"/>
    <w:rsid w:val="0090200A"/>
    <w:rsid w:val="00902285"/>
    <w:rsid w:val="00907AEE"/>
    <w:rsid w:val="009109E6"/>
    <w:rsid w:val="0091327E"/>
    <w:rsid w:val="009132BB"/>
    <w:rsid w:val="00914243"/>
    <w:rsid w:val="00914EC4"/>
    <w:rsid w:val="0091615B"/>
    <w:rsid w:val="00916944"/>
    <w:rsid w:val="009225A8"/>
    <w:rsid w:val="00923DD0"/>
    <w:rsid w:val="00924651"/>
    <w:rsid w:val="0092779B"/>
    <w:rsid w:val="00933322"/>
    <w:rsid w:val="00933A23"/>
    <w:rsid w:val="009353C2"/>
    <w:rsid w:val="00941577"/>
    <w:rsid w:val="00952056"/>
    <w:rsid w:val="00952ABF"/>
    <w:rsid w:val="00953200"/>
    <w:rsid w:val="00957151"/>
    <w:rsid w:val="00960B7A"/>
    <w:rsid w:val="00963588"/>
    <w:rsid w:val="00966191"/>
    <w:rsid w:val="009705D6"/>
    <w:rsid w:val="009711A2"/>
    <w:rsid w:val="00973BA5"/>
    <w:rsid w:val="00975F0B"/>
    <w:rsid w:val="009823BA"/>
    <w:rsid w:val="00985F4F"/>
    <w:rsid w:val="00986913"/>
    <w:rsid w:val="009910CF"/>
    <w:rsid w:val="00996AB5"/>
    <w:rsid w:val="009B29E3"/>
    <w:rsid w:val="009B4740"/>
    <w:rsid w:val="009B6144"/>
    <w:rsid w:val="009B6447"/>
    <w:rsid w:val="009C192B"/>
    <w:rsid w:val="009C1F3C"/>
    <w:rsid w:val="009C6A04"/>
    <w:rsid w:val="009D18EF"/>
    <w:rsid w:val="009D22AF"/>
    <w:rsid w:val="009D2ACB"/>
    <w:rsid w:val="009D3AE9"/>
    <w:rsid w:val="009D41F9"/>
    <w:rsid w:val="009D6985"/>
    <w:rsid w:val="009D6FCD"/>
    <w:rsid w:val="009E03CC"/>
    <w:rsid w:val="009E05D7"/>
    <w:rsid w:val="009E09F8"/>
    <w:rsid w:val="009E0C68"/>
    <w:rsid w:val="009E1886"/>
    <w:rsid w:val="009E3821"/>
    <w:rsid w:val="009E480B"/>
    <w:rsid w:val="009E6E15"/>
    <w:rsid w:val="009F236A"/>
    <w:rsid w:val="009F568E"/>
    <w:rsid w:val="009F7C9D"/>
    <w:rsid w:val="00A02DE1"/>
    <w:rsid w:val="00A03327"/>
    <w:rsid w:val="00A04C08"/>
    <w:rsid w:val="00A04DD3"/>
    <w:rsid w:val="00A058AB"/>
    <w:rsid w:val="00A0784E"/>
    <w:rsid w:val="00A11F73"/>
    <w:rsid w:val="00A20BAF"/>
    <w:rsid w:val="00A20F35"/>
    <w:rsid w:val="00A228DE"/>
    <w:rsid w:val="00A25299"/>
    <w:rsid w:val="00A30F79"/>
    <w:rsid w:val="00A324A0"/>
    <w:rsid w:val="00A325A4"/>
    <w:rsid w:val="00A330AA"/>
    <w:rsid w:val="00A33745"/>
    <w:rsid w:val="00A34D99"/>
    <w:rsid w:val="00A34E14"/>
    <w:rsid w:val="00A361AA"/>
    <w:rsid w:val="00A366A5"/>
    <w:rsid w:val="00A43091"/>
    <w:rsid w:val="00A43FE8"/>
    <w:rsid w:val="00A44322"/>
    <w:rsid w:val="00A47BE7"/>
    <w:rsid w:val="00A512A9"/>
    <w:rsid w:val="00A518C3"/>
    <w:rsid w:val="00A52737"/>
    <w:rsid w:val="00A527D3"/>
    <w:rsid w:val="00A578D6"/>
    <w:rsid w:val="00A57C96"/>
    <w:rsid w:val="00A611BB"/>
    <w:rsid w:val="00A62227"/>
    <w:rsid w:val="00A7520E"/>
    <w:rsid w:val="00A7737B"/>
    <w:rsid w:val="00A776E6"/>
    <w:rsid w:val="00A81308"/>
    <w:rsid w:val="00A84DF8"/>
    <w:rsid w:val="00A871D2"/>
    <w:rsid w:val="00A91565"/>
    <w:rsid w:val="00A9232E"/>
    <w:rsid w:val="00A939B2"/>
    <w:rsid w:val="00A94250"/>
    <w:rsid w:val="00A9482A"/>
    <w:rsid w:val="00A95C95"/>
    <w:rsid w:val="00AA0F16"/>
    <w:rsid w:val="00AA1A56"/>
    <w:rsid w:val="00AA3151"/>
    <w:rsid w:val="00AA4000"/>
    <w:rsid w:val="00AA50A0"/>
    <w:rsid w:val="00AB0A5B"/>
    <w:rsid w:val="00AB2199"/>
    <w:rsid w:val="00AB7558"/>
    <w:rsid w:val="00AB7576"/>
    <w:rsid w:val="00AC5114"/>
    <w:rsid w:val="00AC6028"/>
    <w:rsid w:val="00AC6A25"/>
    <w:rsid w:val="00AD1178"/>
    <w:rsid w:val="00AD174F"/>
    <w:rsid w:val="00AD5157"/>
    <w:rsid w:val="00AD59F5"/>
    <w:rsid w:val="00AE0CB2"/>
    <w:rsid w:val="00AE4465"/>
    <w:rsid w:val="00AF163B"/>
    <w:rsid w:val="00AF1D77"/>
    <w:rsid w:val="00AF3247"/>
    <w:rsid w:val="00AF3F93"/>
    <w:rsid w:val="00AF54A0"/>
    <w:rsid w:val="00AF71A0"/>
    <w:rsid w:val="00B03B64"/>
    <w:rsid w:val="00B03C02"/>
    <w:rsid w:val="00B05550"/>
    <w:rsid w:val="00B109A5"/>
    <w:rsid w:val="00B11396"/>
    <w:rsid w:val="00B158D2"/>
    <w:rsid w:val="00B17EF3"/>
    <w:rsid w:val="00B17FFD"/>
    <w:rsid w:val="00B231EA"/>
    <w:rsid w:val="00B238AB"/>
    <w:rsid w:val="00B246A4"/>
    <w:rsid w:val="00B2602B"/>
    <w:rsid w:val="00B32D5D"/>
    <w:rsid w:val="00B346E9"/>
    <w:rsid w:val="00B51885"/>
    <w:rsid w:val="00B543D1"/>
    <w:rsid w:val="00B54822"/>
    <w:rsid w:val="00B6058F"/>
    <w:rsid w:val="00B605F8"/>
    <w:rsid w:val="00B6167E"/>
    <w:rsid w:val="00B65A7C"/>
    <w:rsid w:val="00B65BD5"/>
    <w:rsid w:val="00B66139"/>
    <w:rsid w:val="00B66C2F"/>
    <w:rsid w:val="00B738DA"/>
    <w:rsid w:val="00B74992"/>
    <w:rsid w:val="00B7586F"/>
    <w:rsid w:val="00B76FD1"/>
    <w:rsid w:val="00B8105A"/>
    <w:rsid w:val="00B824D2"/>
    <w:rsid w:val="00B82D34"/>
    <w:rsid w:val="00B82FB4"/>
    <w:rsid w:val="00B8354C"/>
    <w:rsid w:val="00B83D86"/>
    <w:rsid w:val="00B8419C"/>
    <w:rsid w:val="00B84985"/>
    <w:rsid w:val="00B87977"/>
    <w:rsid w:val="00B90B97"/>
    <w:rsid w:val="00B91C07"/>
    <w:rsid w:val="00B93F35"/>
    <w:rsid w:val="00B96AEF"/>
    <w:rsid w:val="00B97370"/>
    <w:rsid w:val="00B97A48"/>
    <w:rsid w:val="00B97F22"/>
    <w:rsid w:val="00BA3E47"/>
    <w:rsid w:val="00BA6DF4"/>
    <w:rsid w:val="00BA7D5D"/>
    <w:rsid w:val="00BB00B4"/>
    <w:rsid w:val="00BB1C41"/>
    <w:rsid w:val="00BB30A4"/>
    <w:rsid w:val="00BB3225"/>
    <w:rsid w:val="00BB5EE3"/>
    <w:rsid w:val="00BC0D99"/>
    <w:rsid w:val="00BD19EF"/>
    <w:rsid w:val="00BD2F4D"/>
    <w:rsid w:val="00BD59FD"/>
    <w:rsid w:val="00BD5E7C"/>
    <w:rsid w:val="00BD6876"/>
    <w:rsid w:val="00BE354C"/>
    <w:rsid w:val="00BE3F9C"/>
    <w:rsid w:val="00BE64BB"/>
    <w:rsid w:val="00BF076E"/>
    <w:rsid w:val="00BF124F"/>
    <w:rsid w:val="00BF2228"/>
    <w:rsid w:val="00BF2723"/>
    <w:rsid w:val="00BF3A48"/>
    <w:rsid w:val="00BF6BEA"/>
    <w:rsid w:val="00C00738"/>
    <w:rsid w:val="00C01688"/>
    <w:rsid w:val="00C03EC3"/>
    <w:rsid w:val="00C0422B"/>
    <w:rsid w:val="00C0467F"/>
    <w:rsid w:val="00C05514"/>
    <w:rsid w:val="00C05FF1"/>
    <w:rsid w:val="00C12991"/>
    <w:rsid w:val="00C14980"/>
    <w:rsid w:val="00C15835"/>
    <w:rsid w:val="00C1766F"/>
    <w:rsid w:val="00C20A2D"/>
    <w:rsid w:val="00C21BAE"/>
    <w:rsid w:val="00C21EFA"/>
    <w:rsid w:val="00C23F01"/>
    <w:rsid w:val="00C245A0"/>
    <w:rsid w:val="00C27B8D"/>
    <w:rsid w:val="00C301C5"/>
    <w:rsid w:val="00C37AF6"/>
    <w:rsid w:val="00C41904"/>
    <w:rsid w:val="00C429A5"/>
    <w:rsid w:val="00C46029"/>
    <w:rsid w:val="00C46174"/>
    <w:rsid w:val="00C4661E"/>
    <w:rsid w:val="00C47878"/>
    <w:rsid w:val="00C517B9"/>
    <w:rsid w:val="00C518A0"/>
    <w:rsid w:val="00C533E7"/>
    <w:rsid w:val="00C5396C"/>
    <w:rsid w:val="00C55871"/>
    <w:rsid w:val="00C60F8F"/>
    <w:rsid w:val="00C618F2"/>
    <w:rsid w:val="00C6586E"/>
    <w:rsid w:val="00C66418"/>
    <w:rsid w:val="00C71EDA"/>
    <w:rsid w:val="00C7291E"/>
    <w:rsid w:val="00C7428A"/>
    <w:rsid w:val="00C74FB6"/>
    <w:rsid w:val="00C76BFA"/>
    <w:rsid w:val="00C82842"/>
    <w:rsid w:val="00C83D1B"/>
    <w:rsid w:val="00C87BF0"/>
    <w:rsid w:val="00C900D5"/>
    <w:rsid w:val="00C908F8"/>
    <w:rsid w:val="00C921E0"/>
    <w:rsid w:val="00C92B2D"/>
    <w:rsid w:val="00C975BC"/>
    <w:rsid w:val="00C978DC"/>
    <w:rsid w:val="00CA66D3"/>
    <w:rsid w:val="00CA6F2E"/>
    <w:rsid w:val="00CB37F5"/>
    <w:rsid w:val="00CB4801"/>
    <w:rsid w:val="00CB5231"/>
    <w:rsid w:val="00CB5439"/>
    <w:rsid w:val="00CC03D0"/>
    <w:rsid w:val="00CC04FE"/>
    <w:rsid w:val="00CC0809"/>
    <w:rsid w:val="00CC3306"/>
    <w:rsid w:val="00CC4839"/>
    <w:rsid w:val="00CC7BC6"/>
    <w:rsid w:val="00CD2865"/>
    <w:rsid w:val="00CD2D59"/>
    <w:rsid w:val="00CD4146"/>
    <w:rsid w:val="00CD456E"/>
    <w:rsid w:val="00CD457C"/>
    <w:rsid w:val="00CD67BB"/>
    <w:rsid w:val="00CE02FA"/>
    <w:rsid w:val="00CE0FC3"/>
    <w:rsid w:val="00CE48BC"/>
    <w:rsid w:val="00CE4D2E"/>
    <w:rsid w:val="00CE5766"/>
    <w:rsid w:val="00CE7A81"/>
    <w:rsid w:val="00CF42FD"/>
    <w:rsid w:val="00CF4CA9"/>
    <w:rsid w:val="00D069DD"/>
    <w:rsid w:val="00D11B91"/>
    <w:rsid w:val="00D11BBB"/>
    <w:rsid w:val="00D11D07"/>
    <w:rsid w:val="00D120B6"/>
    <w:rsid w:val="00D13B38"/>
    <w:rsid w:val="00D15DE8"/>
    <w:rsid w:val="00D1624B"/>
    <w:rsid w:val="00D17958"/>
    <w:rsid w:val="00D20F2A"/>
    <w:rsid w:val="00D229E0"/>
    <w:rsid w:val="00D232F9"/>
    <w:rsid w:val="00D24647"/>
    <w:rsid w:val="00D25ED7"/>
    <w:rsid w:val="00D2691F"/>
    <w:rsid w:val="00D31201"/>
    <w:rsid w:val="00D33ABF"/>
    <w:rsid w:val="00D34671"/>
    <w:rsid w:val="00D347F1"/>
    <w:rsid w:val="00D357C5"/>
    <w:rsid w:val="00D35C3F"/>
    <w:rsid w:val="00D3645E"/>
    <w:rsid w:val="00D40151"/>
    <w:rsid w:val="00D40C24"/>
    <w:rsid w:val="00D433CD"/>
    <w:rsid w:val="00D47106"/>
    <w:rsid w:val="00D558FE"/>
    <w:rsid w:val="00D567DA"/>
    <w:rsid w:val="00D60FB9"/>
    <w:rsid w:val="00D633BD"/>
    <w:rsid w:val="00D64A8E"/>
    <w:rsid w:val="00D70245"/>
    <w:rsid w:val="00D72BFF"/>
    <w:rsid w:val="00D85644"/>
    <w:rsid w:val="00D8629F"/>
    <w:rsid w:val="00D9245B"/>
    <w:rsid w:val="00D94544"/>
    <w:rsid w:val="00D9468A"/>
    <w:rsid w:val="00D961D8"/>
    <w:rsid w:val="00DA0E5D"/>
    <w:rsid w:val="00DA1903"/>
    <w:rsid w:val="00DA420E"/>
    <w:rsid w:val="00DA62C4"/>
    <w:rsid w:val="00DB504C"/>
    <w:rsid w:val="00DB5BEC"/>
    <w:rsid w:val="00DB634F"/>
    <w:rsid w:val="00DB6AAC"/>
    <w:rsid w:val="00DC2C2F"/>
    <w:rsid w:val="00DC518A"/>
    <w:rsid w:val="00DC6216"/>
    <w:rsid w:val="00DD50BF"/>
    <w:rsid w:val="00DD5318"/>
    <w:rsid w:val="00DD5CA5"/>
    <w:rsid w:val="00DE1349"/>
    <w:rsid w:val="00DE1F05"/>
    <w:rsid w:val="00DE3D16"/>
    <w:rsid w:val="00DE50D2"/>
    <w:rsid w:val="00DE6937"/>
    <w:rsid w:val="00DF024E"/>
    <w:rsid w:val="00DF2A15"/>
    <w:rsid w:val="00DF33AF"/>
    <w:rsid w:val="00DF3401"/>
    <w:rsid w:val="00DF38C0"/>
    <w:rsid w:val="00DF6970"/>
    <w:rsid w:val="00E0283F"/>
    <w:rsid w:val="00E042EC"/>
    <w:rsid w:val="00E06E43"/>
    <w:rsid w:val="00E11D78"/>
    <w:rsid w:val="00E16BAE"/>
    <w:rsid w:val="00E21290"/>
    <w:rsid w:val="00E2217B"/>
    <w:rsid w:val="00E227E8"/>
    <w:rsid w:val="00E25EE0"/>
    <w:rsid w:val="00E26FC4"/>
    <w:rsid w:val="00E2771F"/>
    <w:rsid w:val="00E27C80"/>
    <w:rsid w:val="00E3359E"/>
    <w:rsid w:val="00E3411C"/>
    <w:rsid w:val="00E34C8F"/>
    <w:rsid w:val="00E3524F"/>
    <w:rsid w:val="00E36661"/>
    <w:rsid w:val="00E37AF1"/>
    <w:rsid w:val="00E37CE1"/>
    <w:rsid w:val="00E40168"/>
    <w:rsid w:val="00E4135C"/>
    <w:rsid w:val="00E416F3"/>
    <w:rsid w:val="00E46BCC"/>
    <w:rsid w:val="00E47149"/>
    <w:rsid w:val="00E508A9"/>
    <w:rsid w:val="00E53BF3"/>
    <w:rsid w:val="00E55E36"/>
    <w:rsid w:val="00E57059"/>
    <w:rsid w:val="00E62023"/>
    <w:rsid w:val="00E66BDF"/>
    <w:rsid w:val="00E73B61"/>
    <w:rsid w:val="00E73C33"/>
    <w:rsid w:val="00E76362"/>
    <w:rsid w:val="00E76B74"/>
    <w:rsid w:val="00E80840"/>
    <w:rsid w:val="00E8259D"/>
    <w:rsid w:val="00E8503D"/>
    <w:rsid w:val="00E85C69"/>
    <w:rsid w:val="00E85C80"/>
    <w:rsid w:val="00E86123"/>
    <w:rsid w:val="00E87309"/>
    <w:rsid w:val="00E87DF4"/>
    <w:rsid w:val="00E92BA3"/>
    <w:rsid w:val="00E94173"/>
    <w:rsid w:val="00E9462A"/>
    <w:rsid w:val="00E949FB"/>
    <w:rsid w:val="00E95503"/>
    <w:rsid w:val="00E95BAD"/>
    <w:rsid w:val="00E97860"/>
    <w:rsid w:val="00E97D76"/>
    <w:rsid w:val="00EA1600"/>
    <w:rsid w:val="00EA3CAF"/>
    <w:rsid w:val="00EA416E"/>
    <w:rsid w:val="00EA4EDB"/>
    <w:rsid w:val="00EB4946"/>
    <w:rsid w:val="00EB4FD6"/>
    <w:rsid w:val="00EC016F"/>
    <w:rsid w:val="00EC1280"/>
    <w:rsid w:val="00EC1A31"/>
    <w:rsid w:val="00EC37C3"/>
    <w:rsid w:val="00ED0523"/>
    <w:rsid w:val="00ED2E3E"/>
    <w:rsid w:val="00ED3D48"/>
    <w:rsid w:val="00ED65FF"/>
    <w:rsid w:val="00ED6F53"/>
    <w:rsid w:val="00ED7547"/>
    <w:rsid w:val="00EE0C08"/>
    <w:rsid w:val="00EE5F25"/>
    <w:rsid w:val="00EF0A82"/>
    <w:rsid w:val="00EF0CB7"/>
    <w:rsid w:val="00EF22F3"/>
    <w:rsid w:val="00EF2B37"/>
    <w:rsid w:val="00EF5A84"/>
    <w:rsid w:val="00F03389"/>
    <w:rsid w:val="00F05FE5"/>
    <w:rsid w:val="00F06A39"/>
    <w:rsid w:val="00F06B7F"/>
    <w:rsid w:val="00F07E33"/>
    <w:rsid w:val="00F12292"/>
    <w:rsid w:val="00F14005"/>
    <w:rsid w:val="00F2285F"/>
    <w:rsid w:val="00F240A4"/>
    <w:rsid w:val="00F255E0"/>
    <w:rsid w:val="00F329DE"/>
    <w:rsid w:val="00F343ED"/>
    <w:rsid w:val="00F36A63"/>
    <w:rsid w:val="00F40014"/>
    <w:rsid w:val="00F4105B"/>
    <w:rsid w:val="00F42643"/>
    <w:rsid w:val="00F43CC2"/>
    <w:rsid w:val="00F47756"/>
    <w:rsid w:val="00F502B3"/>
    <w:rsid w:val="00F51884"/>
    <w:rsid w:val="00F521D3"/>
    <w:rsid w:val="00F52FEF"/>
    <w:rsid w:val="00F53AB7"/>
    <w:rsid w:val="00F546F7"/>
    <w:rsid w:val="00F5496C"/>
    <w:rsid w:val="00F56418"/>
    <w:rsid w:val="00F564B3"/>
    <w:rsid w:val="00F56528"/>
    <w:rsid w:val="00F56A6A"/>
    <w:rsid w:val="00F61881"/>
    <w:rsid w:val="00F61CBE"/>
    <w:rsid w:val="00F62978"/>
    <w:rsid w:val="00F665C5"/>
    <w:rsid w:val="00F67553"/>
    <w:rsid w:val="00F7442E"/>
    <w:rsid w:val="00F74FFE"/>
    <w:rsid w:val="00F7602F"/>
    <w:rsid w:val="00F772E0"/>
    <w:rsid w:val="00F77F2E"/>
    <w:rsid w:val="00F80CA5"/>
    <w:rsid w:val="00F8373F"/>
    <w:rsid w:val="00F83851"/>
    <w:rsid w:val="00F83F07"/>
    <w:rsid w:val="00F84C9A"/>
    <w:rsid w:val="00F908F9"/>
    <w:rsid w:val="00F90B07"/>
    <w:rsid w:val="00F928A5"/>
    <w:rsid w:val="00F92EEE"/>
    <w:rsid w:val="00F93708"/>
    <w:rsid w:val="00F937BD"/>
    <w:rsid w:val="00F94A64"/>
    <w:rsid w:val="00F96F61"/>
    <w:rsid w:val="00F97DE5"/>
    <w:rsid w:val="00FA45DF"/>
    <w:rsid w:val="00FA770F"/>
    <w:rsid w:val="00FA7AC1"/>
    <w:rsid w:val="00FB01A9"/>
    <w:rsid w:val="00FB4AA3"/>
    <w:rsid w:val="00FC0758"/>
    <w:rsid w:val="00FC399F"/>
    <w:rsid w:val="00FC4A17"/>
    <w:rsid w:val="00FC6EB6"/>
    <w:rsid w:val="00FD0203"/>
    <w:rsid w:val="00FD2820"/>
    <w:rsid w:val="00FD366D"/>
    <w:rsid w:val="00FD43A1"/>
    <w:rsid w:val="00FD4FFC"/>
    <w:rsid w:val="00FE11AB"/>
    <w:rsid w:val="00FE17AC"/>
    <w:rsid w:val="00FE1F3B"/>
    <w:rsid w:val="00FE5182"/>
    <w:rsid w:val="00FE56EE"/>
    <w:rsid w:val="00FE6D1D"/>
    <w:rsid w:val="00FF28FF"/>
    <w:rsid w:val="00FF3C87"/>
    <w:rsid w:val="00FF4BE6"/>
    <w:rsid w:val="00FF6629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C621"/>
  <w15:chartTrackingRefBased/>
  <w15:docId w15:val="{24702724-40D3-450F-B7AB-FEC4702B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123"/>
    <w:pPr>
      <w:spacing w:line="259" w:lineRule="auto"/>
    </w:pPr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123"/>
    <w:pPr>
      <w:keepNext/>
      <w:keepLines/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123"/>
    <w:pPr>
      <w:keepNext/>
      <w:keepLines/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1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1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1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1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1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1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1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123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12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123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123"/>
    <w:pPr>
      <w:spacing w:line="278" w:lineRule="auto"/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86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1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123"/>
    <w:rPr>
      <w:rFonts w:asciiTheme="majorHAnsi" w:hAnsiTheme="majorHAnsi" w:cstheme="majorHAnsi"/>
    </w:rPr>
  </w:style>
  <w:style w:type="paragraph" w:styleId="Footer">
    <w:name w:val="footer"/>
    <w:basedOn w:val="Normal"/>
    <w:link w:val="FooterChar"/>
    <w:uiPriority w:val="99"/>
    <w:unhideWhenUsed/>
    <w:rsid w:val="00E8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123"/>
    <w:rPr>
      <w:rFonts w:asciiTheme="majorHAnsi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9F4B-7892-4BAC-8AFA-C09875B080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3530</TotalTime>
  <Pages>5</Pages>
  <Words>2049</Words>
  <Characters>12213</Characters>
  <Application>Microsoft Office Word</Application>
  <DocSecurity>0</DocSecurity>
  <Lines>179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ccirco</dc:creator>
  <cp:keywords/>
  <dc:description/>
  <cp:lastModifiedBy>carl circo</cp:lastModifiedBy>
  <cp:revision>694</cp:revision>
  <dcterms:created xsi:type="dcterms:W3CDTF">2026-06-02T12:51:00Z</dcterms:created>
  <dcterms:modified xsi:type="dcterms:W3CDTF">2026-06-09T13:08:00Z</dcterms:modified>
</cp:coreProperties>
</file>