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BBD0" w14:textId="77777777" w:rsidR="00D54FB4" w:rsidRPr="00007A09" w:rsidRDefault="00D54FB4" w:rsidP="00D54FB4">
      <w:pPr>
        <w:rPr>
          <w:rFonts w:ascii="Times New Roman" w:hAnsi="Times New Roman" w:cs="Times New Roman"/>
          <w:b/>
          <w:bCs/>
        </w:rPr>
      </w:pPr>
      <w:r w:rsidRPr="00007A09">
        <w:rPr>
          <w:rFonts w:ascii="Times New Roman" w:hAnsi="Times New Roman" w:cs="Times New Roman"/>
          <w:b/>
          <w:bCs/>
        </w:rPr>
        <w:t>Construction and Design Law: Managing the Network of Interdependent Relationships</w:t>
      </w:r>
    </w:p>
    <w:p w14:paraId="19F6CAF8" w14:textId="77777777" w:rsidR="00D54FB4" w:rsidRPr="00007A09" w:rsidRDefault="00D54FB4" w:rsidP="00D54FB4">
      <w:pPr>
        <w:jc w:val="center"/>
        <w:rPr>
          <w:rFonts w:ascii="Times New Roman" w:hAnsi="Times New Roman" w:cs="Times New Roman"/>
        </w:rPr>
      </w:pPr>
      <w:r w:rsidRPr="00007A09">
        <w:rPr>
          <w:rFonts w:ascii="Times New Roman" w:hAnsi="Times New Roman" w:cs="Times New Roman"/>
        </w:rPr>
        <w:t>Carl J. Circo</w:t>
      </w:r>
    </w:p>
    <w:p w14:paraId="2BD54C9C" w14:textId="77777777" w:rsidR="00D54FB4" w:rsidRPr="00007A09" w:rsidRDefault="00D54FB4" w:rsidP="00D54FB4">
      <w:pPr>
        <w:jc w:val="center"/>
        <w:rPr>
          <w:rFonts w:ascii="Times New Roman" w:hAnsi="Times New Roman" w:cs="Times New Roman"/>
          <w:b/>
          <w:bCs/>
        </w:rPr>
      </w:pPr>
      <w:r w:rsidRPr="00007A09">
        <w:rPr>
          <w:rFonts w:ascii="Times New Roman" w:hAnsi="Times New Roman" w:cs="Times New Roman"/>
          <w:b/>
          <w:bCs/>
        </w:rPr>
        <w:t>Part 3</w:t>
      </w:r>
    </w:p>
    <w:p w14:paraId="4647A599" w14:textId="77777777" w:rsidR="00B82778" w:rsidRDefault="00B82778" w:rsidP="00D54FB4">
      <w:pPr>
        <w:keepNext/>
        <w:jc w:val="center"/>
        <w:rPr>
          <w:rFonts w:ascii="Times New Roman" w:hAnsi="Times New Roman" w:cs="Times New Roman"/>
          <w:b/>
          <w:bCs/>
        </w:rPr>
      </w:pPr>
    </w:p>
    <w:p w14:paraId="30E8BF36" w14:textId="63064B90" w:rsidR="00D54FB4" w:rsidRPr="00007A09" w:rsidRDefault="00D54FB4" w:rsidP="00D54FB4">
      <w:pPr>
        <w:keepNext/>
        <w:jc w:val="center"/>
        <w:rPr>
          <w:rFonts w:ascii="Times New Roman" w:hAnsi="Times New Roman" w:cs="Times New Roman"/>
          <w:b/>
          <w:bCs/>
        </w:rPr>
      </w:pPr>
      <w:r w:rsidRPr="00007A09">
        <w:rPr>
          <w:rFonts w:ascii="Times New Roman" w:hAnsi="Times New Roman" w:cs="Times New Roman"/>
          <w:b/>
          <w:bCs/>
        </w:rPr>
        <w:t>Lesson 2</w:t>
      </w:r>
      <w:r w:rsidR="00BE68D5">
        <w:rPr>
          <w:rFonts w:ascii="Times New Roman" w:hAnsi="Times New Roman" w:cs="Times New Roman"/>
          <w:b/>
          <w:bCs/>
        </w:rPr>
        <w:t>7</w:t>
      </w:r>
      <w:r w:rsidRPr="00007A09">
        <w:rPr>
          <w:rFonts w:ascii="Times New Roman" w:hAnsi="Times New Roman" w:cs="Times New Roman"/>
          <w:b/>
          <w:bCs/>
        </w:rPr>
        <w:t xml:space="preserve">: </w:t>
      </w:r>
      <w:r w:rsidR="00BE68D5">
        <w:rPr>
          <w:rFonts w:ascii="Times New Roman" w:hAnsi="Times New Roman" w:cs="Times New Roman"/>
          <w:b/>
          <w:bCs/>
        </w:rPr>
        <w:t>Safety</w:t>
      </w:r>
    </w:p>
    <w:p w14:paraId="13DC7A6E" w14:textId="6BFDD503" w:rsidR="00BE68D5" w:rsidRDefault="00D54FB4" w:rsidP="00BE68D5">
      <w:pPr>
        <w:rPr>
          <w:rFonts w:ascii="Times New Roman" w:hAnsi="Times New Roman" w:cs="Times New Roman"/>
        </w:rPr>
      </w:pPr>
      <w:r w:rsidRPr="00007A09">
        <w:rPr>
          <w:rFonts w:ascii="Times New Roman" w:hAnsi="Times New Roman" w:cs="Times New Roman"/>
        </w:rPr>
        <w:tab/>
      </w:r>
      <w:r w:rsidR="00B86EDD">
        <w:rPr>
          <w:rFonts w:ascii="Times New Roman" w:hAnsi="Times New Roman" w:cs="Times New Roman"/>
        </w:rPr>
        <w:t>Because c</w:t>
      </w:r>
      <w:r w:rsidR="00CF18EB">
        <w:rPr>
          <w:rFonts w:ascii="Times New Roman" w:hAnsi="Times New Roman" w:cs="Times New Roman"/>
        </w:rPr>
        <w:t>onstruction is inherently</w:t>
      </w:r>
      <w:r w:rsidR="009774B0">
        <w:rPr>
          <w:rFonts w:ascii="Times New Roman" w:hAnsi="Times New Roman" w:cs="Times New Roman"/>
        </w:rPr>
        <w:t xml:space="preserve"> hazardous,</w:t>
      </w:r>
      <w:r w:rsidR="00461EDE">
        <w:rPr>
          <w:rFonts w:ascii="Times New Roman" w:hAnsi="Times New Roman" w:cs="Times New Roman"/>
        </w:rPr>
        <w:t xml:space="preserve"> </w:t>
      </w:r>
      <w:r w:rsidR="00B86EDD">
        <w:rPr>
          <w:rFonts w:ascii="Times New Roman" w:hAnsi="Times New Roman" w:cs="Times New Roman"/>
        </w:rPr>
        <w:t xml:space="preserve">an extensive body of </w:t>
      </w:r>
      <w:r w:rsidR="00D347D7">
        <w:rPr>
          <w:rFonts w:ascii="Times New Roman" w:hAnsi="Times New Roman" w:cs="Times New Roman"/>
        </w:rPr>
        <w:t>law has develop</w:t>
      </w:r>
      <w:r w:rsidR="00461EDE">
        <w:rPr>
          <w:rFonts w:ascii="Times New Roman" w:hAnsi="Times New Roman" w:cs="Times New Roman"/>
        </w:rPr>
        <w:t>e</w:t>
      </w:r>
      <w:r w:rsidR="00771057">
        <w:rPr>
          <w:rFonts w:ascii="Times New Roman" w:hAnsi="Times New Roman" w:cs="Times New Roman"/>
        </w:rPr>
        <w:t>d</w:t>
      </w:r>
      <w:r w:rsidR="00461EDE">
        <w:rPr>
          <w:rFonts w:ascii="Times New Roman" w:hAnsi="Times New Roman" w:cs="Times New Roman"/>
        </w:rPr>
        <w:t xml:space="preserve"> concerning</w:t>
      </w:r>
      <w:r w:rsidR="009774B0">
        <w:rPr>
          <w:rFonts w:ascii="Times New Roman" w:hAnsi="Times New Roman" w:cs="Times New Roman"/>
        </w:rPr>
        <w:t xml:space="preserve"> </w:t>
      </w:r>
      <w:r w:rsidR="0024769B">
        <w:rPr>
          <w:rFonts w:ascii="Times New Roman" w:hAnsi="Times New Roman" w:cs="Times New Roman"/>
        </w:rPr>
        <w:t xml:space="preserve">responsibility for </w:t>
      </w:r>
      <w:r w:rsidR="00587057">
        <w:rPr>
          <w:rFonts w:ascii="Times New Roman" w:hAnsi="Times New Roman" w:cs="Times New Roman"/>
        </w:rPr>
        <w:t xml:space="preserve">safety </w:t>
      </w:r>
      <w:r w:rsidR="005B10F7">
        <w:rPr>
          <w:rFonts w:ascii="Times New Roman" w:hAnsi="Times New Roman" w:cs="Times New Roman"/>
        </w:rPr>
        <w:t xml:space="preserve">in </w:t>
      </w:r>
      <w:r w:rsidR="00D347D7">
        <w:rPr>
          <w:rFonts w:ascii="Times New Roman" w:hAnsi="Times New Roman" w:cs="Times New Roman"/>
        </w:rPr>
        <w:t xml:space="preserve">the industry. </w:t>
      </w:r>
      <w:r w:rsidR="001B6B13">
        <w:rPr>
          <w:rFonts w:ascii="Times New Roman" w:hAnsi="Times New Roman" w:cs="Times New Roman"/>
        </w:rPr>
        <w:t>Chapter 13 of t</w:t>
      </w:r>
      <w:r w:rsidR="00664FE7">
        <w:rPr>
          <w:rFonts w:ascii="Times New Roman" w:hAnsi="Times New Roman" w:cs="Times New Roman"/>
        </w:rPr>
        <w:t>he American Bar Association</w:t>
      </w:r>
      <w:r w:rsidR="00CB0D69">
        <w:rPr>
          <w:rFonts w:ascii="Times New Roman" w:hAnsi="Times New Roman" w:cs="Times New Roman"/>
        </w:rPr>
        <w:t xml:space="preserve"> Forum on Construction Law</w:t>
      </w:r>
      <w:r w:rsidR="00664FE7">
        <w:rPr>
          <w:rFonts w:ascii="Times New Roman" w:hAnsi="Times New Roman" w:cs="Times New Roman"/>
        </w:rPr>
        <w:t xml:space="preserve">’s construction law textbook </w:t>
      </w:r>
      <w:r w:rsidR="000B7A7B">
        <w:rPr>
          <w:rFonts w:ascii="Times New Roman" w:hAnsi="Times New Roman" w:cs="Times New Roman"/>
        </w:rPr>
        <w:t>(</w:t>
      </w:r>
      <w:r w:rsidR="005A3EE7">
        <w:rPr>
          <w:rFonts w:ascii="Times New Roman" w:hAnsi="Times New Roman" w:cs="Times New Roman"/>
        </w:rPr>
        <w:t xml:space="preserve">the </w:t>
      </w:r>
      <w:r w:rsidR="000B7A7B">
        <w:rPr>
          <w:rFonts w:ascii="Times New Roman" w:hAnsi="Times New Roman" w:cs="Times New Roman"/>
        </w:rPr>
        <w:t>“Forum Textbook</w:t>
      </w:r>
      <w:r w:rsidR="00B71B37">
        <w:rPr>
          <w:rFonts w:ascii="Times New Roman" w:hAnsi="Times New Roman" w:cs="Times New Roman"/>
        </w:rPr>
        <w:t xml:space="preserve"> Saf</w:t>
      </w:r>
      <w:r w:rsidR="006968C2">
        <w:rPr>
          <w:rFonts w:ascii="Times New Roman" w:hAnsi="Times New Roman" w:cs="Times New Roman"/>
        </w:rPr>
        <w:t>ety</w:t>
      </w:r>
      <w:r w:rsidR="00B71B37">
        <w:rPr>
          <w:rFonts w:ascii="Times New Roman" w:hAnsi="Times New Roman" w:cs="Times New Roman"/>
        </w:rPr>
        <w:t xml:space="preserve"> </w:t>
      </w:r>
      <w:r w:rsidR="001B6B13">
        <w:rPr>
          <w:rFonts w:ascii="Times New Roman" w:hAnsi="Times New Roman" w:cs="Times New Roman"/>
        </w:rPr>
        <w:t>Chapter</w:t>
      </w:r>
      <w:r w:rsidR="000B7A7B">
        <w:rPr>
          <w:rFonts w:ascii="Times New Roman" w:hAnsi="Times New Roman" w:cs="Times New Roman"/>
        </w:rPr>
        <w:t xml:space="preserve">”) </w:t>
      </w:r>
      <w:r w:rsidR="000847B4">
        <w:rPr>
          <w:rFonts w:ascii="Times New Roman" w:hAnsi="Times New Roman" w:cs="Times New Roman"/>
        </w:rPr>
        <w:t>concisely introduces</w:t>
      </w:r>
      <w:r w:rsidR="00771057">
        <w:rPr>
          <w:rFonts w:ascii="Times New Roman" w:hAnsi="Times New Roman" w:cs="Times New Roman"/>
        </w:rPr>
        <w:t xml:space="preserve"> the basic principles</w:t>
      </w:r>
      <w:r w:rsidR="000B667A">
        <w:rPr>
          <w:rFonts w:ascii="Times New Roman" w:hAnsi="Times New Roman" w:cs="Times New Roman"/>
        </w:rPr>
        <w:t xml:space="preserve">. </w:t>
      </w:r>
      <w:r w:rsidR="008B1507">
        <w:rPr>
          <w:rFonts w:ascii="Times New Roman" w:hAnsi="Times New Roman" w:cs="Times New Roman"/>
          <w:i/>
          <w:iCs/>
        </w:rPr>
        <w:t xml:space="preserve">See </w:t>
      </w:r>
      <w:r w:rsidR="00CF374D">
        <w:rPr>
          <w:rFonts w:ascii="Times New Roman" w:hAnsi="Times New Roman" w:cs="Times New Roman"/>
        </w:rPr>
        <w:t xml:space="preserve">William R. Allensworth &amp; Matthew C. Ryan, </w:t>
      </w:r>
      <w:r w:rsidR="00CF374D">
        <w:rPr>
          <w:rFonts w:ascii="Times New Roman" w:hAnsi="Times New Roman" w:cs="Times New Roman"/>
          <w:i/>
          <w:iCs/>
        </w:rPr>
        <w:t>Construction Safety</w:t>
      </w:r>
      <w:r w:rsidR="00B8193D">
        <w:rPr>
          <w:rFonts w:ascii="Times New Roman" w:hAnsi="Times New Roman" w:cs="Times New Roman"/>
          <w:i/>
          <w:iCs/>
        </w:rPr>
        <w:t>,</w:t>
      </w:r>
      <w:r w:rsidR="00CF374D">
        <w:rPr>
          <w:rFonts w:ascii="Times New Roman" w:hAnsi="Times New Roman" w:cs="Times New Roman"/>
          <w:i/>
          <w:iCs/>
        </w:rPr>
        <w:t xml:space="preserve"> </w:t>
      </w:r>
      <w:r w:rsidR="00CF374D" w:rsidRPr="00B8193D">
        <w:rPr>
          <w:rFonts w:ascii="Times New Roman" w:hAnsi="Times New Roman" w:cs="Times New Roman"/>
          <w:i/>
          <w:iCs/>
        </w:rPr>
        <w:t>in</w:t>
      </w:r>
      <w:r w:rsidR="00CF374D">
        <w:rPr>
          <w:rFonts w:ascii="Times New Roman" w:hAnsi="Times New Roman" w:cs="Times New Roman"/>
          <w:i/>
          <w:iCs/>
        </w:rPr>
        <w:t xml:space="preserve"> </w:t>
      </w:r>
      <w:r w:rsidR="00CF4D59">
        <w:rPr>
          <w:rFonts w:ascii="Times New Roman" w:hAnsi="Times New Roman" w:cs="Times New Roman"/>
          <w:i/>
          <w:iCs/>
        </w:rPr>
        <w:t xml:space="preserve">Construction Law </w:t>
      </w:r>
      <w:r w:rsidR="00CF4D59">
        <w:rPr>
          <w:rFonts w:ascii="Times New Roman" w:hAnsi="Times New Roman" w:cs="Times New Roman"/>
        </w:rPr>
        <w:t>(2d. ed</w:t>
      </w:r>
      <w:r w:rsidR="006A72F8">
        <w:rPr>
          <w:rFonts w:ascii="Times New Roman" w:hAnsi="Times New Roman" w:cs="Times New Roman"/>
        </w:rPr>
        <w:t xml:space="preserve">., Carol J. Patterson, </w:t>
      </w:r>
      <w:r w:rsidR="006A72F8">
        <w:rPr>
          <w:rFonts w:ascii="Times New Roman" w:hAnsi="Times New Roman" w:cs="Times New Roman"/>
          <w:i/>
          <w:iCs/>
        </w:rPr>
        <w:t>et al.</w:t>
      </w:r>
      <w:r w:rsidR="006A72F8">
        <w:rPr>
          <w:rFonts w:ascii="Times New Roman" w:hAnsi="Times New Roman" w:cs="Times New Roman"/>
        </w:rPr>
        <w:t>, eds 2019)</w:t>
      </w:r>
      <w:r w:rsidR="00A21EB3">
        <w:rPr>
          <w:rFonts w:ascii="Times New Roman" w:hAnsi="Times New Roman" w:cs="Times New Roman"/>
        </w:rPr>
        <w:t>, at 393-423</w:t>
      </w:r>
      <w:r w:rsidR="007C16A8">
        <w:rPr>
          <w:rFonts w:ascii="Times New Roman" w:hAnsi="Times New Roman" w:cs="Times New Roman"/>
        </w:rPr>
        <w:t>. This supplemental lesson draws extensively on</w:t>
      </w:r>
      <w:r w:rsidR="005A3EE7">
        <w:rPr>
          <w:rFonts w:ascii="Times New Roman" w:hAnsi="Times New Roman" w:cs="Times New Roman"/>
        </w:rPr>
        <w:t xml:space="preserve"> the</w:t>
      </w:r>
      <w:r w:rsidR="007C16A8">
        <w:rPr>
          <w:rFonts w:ascii="Times New Roman" w:hAnsi="Times New Roman" w:cs="Times New Roman"/>
        </w:rPr>
        <w:t xml:space="preserve"> </w:t>
      </w:r>
      <w:r w:rsidR="00B515EA">
        <w:rPr>
          <w:rFonts w:ascii="Times New Roman" w:hAnsi="Times New Roman" w:cs="Times New Roman"/>
        </w:rPr>
        <w:t xml:space="preserve">Forum Textbook </w:t>
      </w:r>
      <w:r w:rsidR="00015FCF">
        <w:rPr>
          <w:rFonts w:ascii="Times New Roman" w:hAnsi="Times New Roman" w:cs="Times New Roman"/>
        </w:rPr>
        <w:t>Safety</w:t>
      </w:r>
      <w:r w:rsidR="00B71B37">
        <w:rPr>
          <w:rFonts w:ascii="Times New Roman" w:hAnsi="Times New Roman" w:cs="Times New Roman"/>
        </w:rPr>
        <w:t xml:space="preserve"> </w:t>
      </w:r>
      <w:r w:rsidR="00B515EA">
        <w:rPr>
          <w:rFonts w:ascii="Times New Roman" w:hAnsi="Times New Roman" w:cs="Times New Roman"/>
        </w:rPr>
        <w:t>Chapter</w:t>
      </w:r>
      <w:r w:rsidR="00553A94">
        <w:rPr>
          <w:rFonts w:ascii="Times New Roman" w:hAnsi="Times New Roman" w:cs="Times New Roman"/>
        </w:rPr>
        <w:t xml:space="preserve">, which </w:t>
      </w:r>
      <w:r w:rsidR="006B3DEA">
        <w:rPr>
          <w:rFonts w:ascii="Times New Roman" w:hAnsi="Times New Roman" w:cs="Times New Roman"/>
        </w:rPr>
        <w:t xml:space="preserve">offers this </w:t>
      </w:r>
      <w:r w:rsidR="00E239A1">
        <w:rPr>
          <w:rFonts w:ascii="Times New Roman" w:hAnsi="Times New Roman" w:cs="Times New Roman"/>
        </w:rPr>
        <w:t xml:space="preserve">preliminary </w:t>
      </w:r>
      <w:r w:rsidR="00414E1A">
        <w:rPr>
          <w:rFonts w:ascii="Times New Roman" w:hAnsi="Times New Roman" w:cs="Times New Roman"/>
        </w:rPr>
        <w:t>comment</w:t>
      </w:r>
      <w:r w:rsidR="00355AF5">
        <w:rPr>
          <w:rFonts w:ascii="Times New Roman" w:hAnsi="Times New Roman" w:cs="Times New Roman"/>
        </w:rPr>
        <w:t>:</w:t>
      </w:r>
    </w:p>
    <w:p w14:paraId="48471800" w14:textId="71991CCD" w:rsidR="000725E3" w:rsidRDefault="000725E3" w:rsidP="00C72AEE">
      <w:pPr>
        <w:ind w:left="720"/>
        <w:rPr>
          <w:rFonts w:ascii="Times New Roman" w:hAnsi="Times New Roman" w:cs="Times New Roman"/>
        </w:rPr>
      </w:pPr>
      <w:r>
        <w:rPr>
          <w:rFonts w:ascii="Times New Roman" w:hAnsi="Times New Roman" w:cs="Times New Roman"/>
        </w:rPr>
        <w:tab/>
        <w:t>The prevention of construction accidents, and the allocation of responsibility for property damage and bodily injury arising from such</w:t>
      </w:r>
      <w:r w:rsidR="002152DC">
        <w:rPr>
          <w:rFonts w:ascii="Times New Roman" w:hAnsi="Times New Roman" w:cs="Times New Roman"/>
        </w:rPr>
        <w:t xml:space="preserve"> accidents</w:t>
      </w:r>
      <w:r w:rsidR="005D4459">
        <w:rPr>
          <w:rFonts w:ascii="Times New Roman" w:hAnsi="Times New Roman" w:cs="Times New Roman"/>
        </w:rPr>
        <w:t>, are the subject of construction safety law. The law hides in a dense thicket of common law forms, varied and sometimes obtuse regulations, state and federal statutory frameworks, complicated insurance policies and contractual sophistry</w:t>
      </w:r>
      <w:r w:rsidR="00FA43E8">
        <w:rPr>
          <w:rFonts w:ascii="Times New Roman" w:hAnsi="Times New Roman" w:cs="Times New Roman"/>
        </w:rPr>
        <w:t xml:space="preserve">, the </w:t>
      </w:r>
      <w:r w:rsidR="00C72AEE">
        <w:rPr>
          <w:rFonts w:ascii="Times New Roman" w:hAnsi="Times New Roman" w:cs="Times New Roman"/>
        </w:rPr>
        <w:t>command</w:t>
      </w:r>
      <w:r w:rsidR="00FA43E8">
        <w:rPr>
          <w:rFonts w:ascii="Times New Roman" w:hAnsi="Times New Roman" w:cs="Times New Roman"/>
        </w:rPr>
        <w:t xml:space="preserve"> of which is the stock-in-trade of a large specialty bar.</w:t>
      </w:r>
    </w:p>
    <w:p w14:paraId="74742162" w14:textId="5C7A00F4" w:rsidR="00FA43E8" w:rsidRDefault="00C72AEE" w:rsidP="00BE68D5">
      <w:pPr>
        <w:rPr>
          <w:rFonts w:ascii="Times New Roman" w:hAnsi="Times New Roman" w:cs="Times New Roman"/>
        </w:rPr>
      </w:pPr>
      <w:r>
        <w:rPr>
          <w:rFonts w:ascii="Times New Roman" w:hAnsi="Times New Roman" w:cs="Times New Roman"/>
          <w:i/>
          <w:iCs/>
        </w:rPr>
        <w:t>Id</w:t>
      </w:r>
      <w:r w:rsidR="006A3B29">
        <w:rPr>
          <w:rFonts w:ascii="Times New Roman" w:hAnsi="Times New Roman" w:cs="Times New Roman"/>
        </w:rPr>
        <w:t xml:space="preserve">. </w:t>
      </w:r>
      <w:r w:rsidR="006116E7">
        <w:rPr>
          <w:rFonts w:ascii="Times New Roman" w:hAnsi="Times New Roman" w:cs="Times New Roman"/>
        </w:rPr>
        <w:t>a</w:t>
      </w:r>
      <w:r w:rsidR="006A3B29">
        <w:rPr>
          <w:rFonts w:ascii="Times New Roman" w:hAnsi="Times New Roman" w:cs="Times New Roman"/>
        </w:rPr>
        <w:t>t 393.</w:t>
      </w:r>
    </w:p>
    <w:p w14:paraId="2410933E" w14:textId="6CD2E059" w:rsidR="00FB0DE7" w:rsidRDefault="002800F5" w:rsidP="00BE68D5">
      <w:pPr>
        <w:rPr>
          <w:rFonts w:ascii="Times New Roman" w:hAnsi="Times New Roman" w:cs="Times New Roman"/>
        </w:rPr>
      </w:pPr>
      <w:r>
        <w:rPr>
          <w:rFonts w:ascii="Times New Roman" w:hAnsi="Times New Roman" w:cs="Times New Roman"/>
        </w:rPr>
        <w:tab/>
      </w:r>
      <w:r w:rsidR="007A440C">
        <w:rPr>
          <w:rFonts w:ascii="Times New Roman" w:hAnsi="Times New Roman" w:cs="Times New Roman"/>
        </w:rPr>
        <w:t>As explained in Section 13.02</w:t>
      </w:r>
      <w:r w:rsidR="00B71B37">
        <w:rPr>
          <w:rFonts w:ascii="Times New Roman" w:hAnsi="Times New Roman" w:cs="Times New Roman"/>
        </w:rPr>
        <w:t xml:space="preserve"> of the Forum Textbook Safety Chapter</w:t>
      </w:r>
      <w:r w:rsidR="007A440C">
        <w:rPr>
          <w:rFonts w:ascii="Times New Roman" w:hAnsi="Times New Roman" w:cs="Times New Roman"/>
        </w:rPr>
        <w:t xml:space="preserve">, </w:t>
      </w:r>
      <w:r>
        <w:rPr>
          <w:rFonts w:ascii="Times New Roman" w:hAnsi="Times New Roman" w:cs="Times New Roman"/>
        </w:rPr>
        <w:t xml:space="preserve">state and federal laws and regulations </w:t>
      </w:r>
      <w:r w:rsidR="00AF07BA">
        <w:rPr>
          <w:rFonts w:ascii="Times New Roman" w:hAnsi="Times New Roman" w:cs="Times New Roman"/>
        </w:rPr>
        <w:t>address accident prevention</w:t>
      </w:r>
      <w:r w:rsidR="003E1973">
        <w:rPr>
          <w:rFonts w:ascii="Times New Roman" w:hAnsi="Times New Roman" w:cs="Times New Roman"/>
        </w:rPr>
        <w:t xml:space="preserve"> and liability</w:t>
      </w:r>
      <w:r w:rsidR="00AF68A0" w:rsidRPr="00AF68A0">
        <w:rPr>
          <w:rFonts w:ascii="Times New Roman" w:hAnsi="Times New Roman" w:cs="Times New Roman"/>
        </w:rPr>
        <w:t xml:space="preserve"> </w:t>
      </w:r>
      <w:r w:rsidR="00AF68A0">
        <w:rPr>
          <w:rFonts w:ascii="Times New Roman" w:hAnsi="Times New Roman" w:cs="Times New Roman"/>
        </w:rPr>
        <w:t>from an employment law perspective</w:t>
      </w:r>
      <w:r w:rsidR="003E1973">
        <w:rPr>
          <w:rFonts w:ascii="Times New Roman" w:hAnsi="Times New Roman" w:cs="Times New Roman"/>
        </w:rPr>
        <w:t>.</w:t>
      </w:r>
      <w:r w:rsidR="004C69A9">
        <w:rPr>
          <w:rFonts w:ascii="Times New Roman" w:hAnsi="Times New Roman" w:cs="Times New Roman"/>
        </w:rPr>
        <w:t xml:space="preserve"> </w:t>
      </w:r>
      <w:r w:rsidR="0052549D">
        <w:rPr>
          <w:rFonts w:ascii="Times New Roman" w:hAnsi="Times New Roman" w:cs="Times New Roman"/>
        </w:rPr>
        <w:t>Statutes, regulations, and case law</w:t>
      </w:r>
      <w:r w:rsidR="004C69A9">
        <w:rPr>
          <w:rFonts w:ascii="Times New Roman" w:hAnsi="Times New Roman" w:cs="Times New Roman"/>
        </w:rPr>
        <w:t xml:space="preserve"> commonly </w:t>
      </w:r>
      <w:r w:rsidR="001D7A80">
        <w:rPr>
          <w:rFonts w:ascii="Times New Roman" w:hAnsi="Times New Roman" w:cs="Times New Roman"/>
        </w:rPr>
        <w:t xml:space="preserve">impose liability for </w:t>
      </w:r>
      <w:r w:rsidR="00D50091">
        <w:rPr>
          <w:rFonts w:ascii="Times New Roman" w:hAnsi="Times New Roman" w:cs="Times New Roman"/>
        </w:rPr>
        <w:t>worksite safety on employers and</w:t>
      </w:r>
      <w:r w:rsidR="0027132B">
        <w:rPr>
          <w:rFonts w:ascii="Times New Roman" w:hAnsi="Times New Roman" w:cs="Times New Roman"/>
        </w:rPr>
        <w:t>, in the context of the construction industry,</w:t>
      </w:r>
      <w:r w:rsidR="00D50091">
        <w:rPr>
          <w:rFonts w:ascii="Times New Roman" w:hAnsi="Times New Roman" w:cs="Times New Roman"/>
        </w:rPr>
        <w:t xml:space="preserve"> on general contrac</w:t>
      </w:r>
      <w:r w:rsidR="0027132B">
        <w:rPr>
          <w:rFonts w:ascii="Times New Roman" w:hAnsi="Times New Roman" w:cs="Times New Roman"/>
        </w:rPr>
        <w:t>tors</w:t>
      </w:r>
      <w:r w:rsidR="008A133A">
        <w:rPr>
          <w:rFonts w:ascii="Times New Roman" w:hAnsi="Times New Roman" w:cs="Times New Roman"/>
        </w:rPr>
        <w:t xml:space="preserve">. To a more limited extent, </w:t>
      </w:r>
      <w:r w:rsidR="001C74C4">
        <w:rPr>
          <w:rFonts w:ascii="Times New Roman" w:hAnsi="Times New Roman" w:cs="Times New Roman"/>
        </w:rPr>
        <w:t xml:space="preserve">state </w:t>
      </w:r>
      <w:r w:rsidR="008A133A">
        <w:rPr>
          <w:rFonts w:ascii="Times New Roman" w:hAnsi="Times New Roman" w:cs="Times New Roman"/>
        </w:rPr>
        <w:t xml:space="preserve">licensing laws may also impose </w:t>
      </w:r>
      <w:r w:rsidR="001A35E3">
        <w:rPr>
          <w:rFonts w:ascii="Times New Roman" w:hAnsi="Times New Roman" w:cs="Times New Roman"/>
        </w:rPr>
        <w:t>a general duty</w:t>
      </w:r>
      <w:r w:rsidR="00633BD8">
        <w:rPr>
          <w:rFonts w:ascii="Times New Roman" w:hAnsi="Times New Roman" w:cs="Times New Roman"/>
        </w:rPr>
        <w:t xml:space="preserve"> on licensees</w:t>
      </w:r>
      <w:r w:rsidR="00B4649F">
        <w:rPr>
          <w:rFonts w:ascii="Times New Roman" w:hAnsi="Times New Roman" w:cs="Times New Roman"/>
        </w:rPr>
        <w:t>, including design professionals,</w:t>
      </w:r>
      <w:r w:rsidR="00633BD8">
        <w:rPr>
          <w:rFonts w:ascii="Times New Roman" w:hAnsi="Times New Roman" w:cs="Times New Roman"/>
        </w:rPr>
        <w:t xml:space="preserve"> “to </w:t>
      </w:r>
      <w:r w:rsidR="00B4649F">
        <w:rPr>
          <w:rFonts w:ascii="Times New Roman" w:hAnsi="Times New Roman" w:cs="Times New Roman"/>
        </w:rPr>
        <w:t>protect</w:t>
      </w:r>
      <w:r w:rsidR="00F1651C">
        <w:rPr>
          <w:rFonts w:ascii="Times New Roman" w:hAnsi="Times New Roman" w:cs="Times New Roman"/>
        </w:rPr>
        <w:t xml:space="preserve"> the public’s health, safety, and welfare.” </w:t>
      </w:r>
      <w:r w:rsidR="00F1651C">
        <w:rPr>
          <w:rFonts w:ascii="Times New Roman" w:hAnsi="Times New Roman" w:cs="Times New Roman"/>
          <w:i/>
          <w:iCs/>
        </w:rPr>
        <w:t>Id</w:t>
      </w:r>
      <w:r w:rsidR="00F1651C">
        <w:rPr>
          <w:rFonts w:ascii="Times New Roman" w:hAnsi="Times New Roman" w:cs="Times New Roman"/>
        </w:rPr>
        <w:t>. at 394 (footnote omitted).</w:t>
      </w:r>
    </w:p>
    <w:p w14:paraId="5C587BF0" w14:textId="0751FC55" w:rsidR="000121E5" w:rsidRDefault="00FB0DE7" w:rsidP="005729EC">
      <w:pPr>
        <w:rPr>
          <w:rFonts w:ascii="Times New Roman" w:hAnsi="Times New Roman" w:cs="Times New Roman"/>
        </w:rPr>
      </w:pPr>
      <w:r>
        <w:rPr>
          <w:rFonts w:ascii="Times New Roman" w:hAnsi="Times New Roman" w:cs="Times New Roman"/>
        </w:rPr>
        <w:tab/>
      </w:r>
      <w:r w:rsidR="00691056">
        <w:rPr>
          <w:rFonts w:ascii="Times New Roman" w:hAnsi="Times New Roman" w:cs="Times New Roman"/>
        </w:rPr>
        <w:t>For approximately the past fifty years, federal law has</w:t>
      </w:r>
      <w:r w:rsidR="00811979">
        <w:rPr>
          <w:rFonts w:ascii="Times New Roman" w:hAnsi="Times New Roman" w:cs="Times New Roman"/>
        </w:rPr>
        <w:t xml:space="preserve"> </w:t>
      </w:r>
      <w:r w:rsidR="001A3168">
        <w:rPr>
          <w:rFonts w:ascii="Times New Roman" w:hAnsi="Times New Roman" w:cs="Times New Roman"/>
        </w:rPr>
        <w:t>practically</w:t>
      </w:r>
      <w:r w:rsidR="00146B3D">
        <w:rPr>
          <w:rFonts w:ascii="Times New Roman" w:hAnsi="Times New Roman" w:cs="Times New Roman"/>
        </w:rPr>
        <w:t xml:space="preserve"> dominated</w:t>
      </w:r>
      <w:r w:rsidR="00B459D7">
        <w:rPr>
          <w:rFonts w:ascii="Times New Roman" w:hAnsi="Times New Roman" w:cs="Times New Roman"/>
        </w:rPr>
        <w:t xml:space="preserve"> </w:t>
      </w:r>
      <w:r w:rsidR="004B3710">
        <w:rPr>
          <w:rFonts w:ascii="Times New Roman" w:hAnsi="Times New Roman" w:cs="Times New Roman"/>
        </w:rPr>
        <w:t xml:space="preserve">the regulatory aspects of </w:t>
      </w:r>
      <w:r w:rsidR="00B459D7">
        <w:rPr>
          <w:rFonts w:ascii="Times New Roman" w:hAnsi="Times New Roman" w:cs="Times New Roman"/>
        </w:rPr>
        <w:t xml:space="preserve">worker safety through the </w:t>
      </w:r>
      <w:r w:rsidR="001600E1">
        <w:rPr>
          <w:rFonts w:ascii="Times New Roman" w:hAnsi="Times New Roman" w:cs="Times New Roman"/>
        </w:rPr>
        <w:t>Occupational Safety and Health Act (OSHA</w:t>
      </w:r>
      <w:r w:rsidR="00F15B69">
        <w:rPr>
          <w:rFonts w:ascii="Times New Roman" w:hAnsi="Times New Roman" w:cs="Times New Roman"/>
        </w:rPr>
        <w:t xml:space="preserve">, </w:t>
      </w:r>
      <w:r w:rsidR="00F15B69">
        <w:rPr>
          <w:rFonts w:ascii="Times New Roman" w:hAnsi="Times New Roman" w:cs="Times New Roman"/>
        </w:rPr>
        <w:t>codified at 29 U.S.C. A. 651-678 (</w:t>
      </w:r>
      <w:r w:rsidR="0031547D">
        <w:rPr>
          <w:rFonts w:ascii="Times New Roman" w:hAnsi="Times New Roman" w:cs="Times New Roman"/>
        </w:rPr>
        <w:t>West</w:t>
      </w:r>
      <w:r w:rsidR="009F0225">
        <w:rPr>
          <w:rFonts w:ascii="Times New Roman" w:hAnsi="Times New Roman" w:cs="Times New Roman"/>
        </w:rPr>
        <w:t>law</w:t>
      </w:r>
      <w:r w:rsidR="00F15B69">
        <w:rPr>
          <w:rFonts w:ascii="Times New Roman" w:hAnsi="Times New Roman" w:cs="Times New Roman"/>
        </w:rPr>
        <w:t>)</w:t>
      </w:r>
      <w:r w:rsidR="001600E1">
        <w:rPr>
          <w:rFonts w:ascii="Times New Roman" w:hAnsi="Times New Roman" w:cs="Times New Roman"/>
        </w:rPr>
        <w:t>)</w:t>
      </w:r>
      <w:r w:rsidR="00D664C9">
        <w:rPr>
          <w:rFonts w:ascii="Times New Roman" w:hAnsi="Times New Roman" w:cs="Times New Roman"/>
        </w:rPr>
        <w:t xml:space="preserve"> and its implementing </w:t>
      </w:r>
      <w:r w:rsidR="007D2A3E">
        <w:rPr>
          <w:rFonts w:ascii="Times New Roman" w:hAnsi="Times New Roman" w:cs="Times New Roman"/>
        </w:rPr>
        <w:t>regulations.</w:t>
      </w:r>
      <w:r w:rsidR="001622D3">
        <w:rPr>
          <w:rFonts w:ascii="Times New Roman" w:hAnsi="Times New Roman" w:cs="Times New Roman"/>
        </w:rPr>
        <w:t xml:space="preserve"> OSHA regulations “cover virtually every aspect of construction workp</w:t>
      </w:r>
      <w:r w:rsidR="00621D2B">
        <w:rPr>
          <w:rFonts w:ascii="Times New Roman" w:hAnsi="Times New Roman" w:cs="Times New Roman"/>
        </w:rPr>
        <w:t>l</w:t>
      </w:r>
      <w:r w:rsidR="001622D3">
        <w:rPr>
          <w:rFonts w:ascii="Times New Roman" w:hAnsi="Times New Roman" w:cs="Times New Roman"/>
        </w:rPr>
        <w:t xml:space="preserve">ace safety in mind-numbing detail, requiring employers to institute safety programs and to ensure their implementation.” Forum Textbook Safety Chapter at </w:t>
      </w:r>
      <w:r w:rsidR="00621D2B">
        <w:rPr>
          <w:rFonts w:ascii="Times New Roman" w:hAnsi="Times New Roman" w:cs="Times New Roman"/>
        </w:rPr>
        <w:t xml:space="preserve">395. </w:t>
      </w:r>
      <w:r w:rsidR="00482B34">
        <w:rPr>
          <w:rFonts w:ascii="Times New Roman" w:hAnsi="Times New Roman" w:cs="Times New Roman"/>
        </w:rPr>
        <w:t>The regulations provide for</w:t>
      </w:r>
      <w:r w:rsidR="00C63603">
        <w:rPr>
          <w:rFonts w:ascii="Times New Roman" w:hAnsi="Times New Roman" w:cs="Times New Roman"/>
        </w:rPr>
        <w:t xml:space="preserve"> recordkeeping, employee training,</w:t>
      </w:r>
      <w:r w:rsidR="00482B34">
        <w:rPr>
          <w:rFonts w:ascii="Times New Roman" w:hAnsi="Times New Roman" w:cs="Times New Roman"/>
        </w:rPr>
        <w:t xml:space="preserve"> </w:t>
      </w:r>
      <w:r w:rsidR="00EB6350">
        <w:rPr>
          <w:rFonts w:ascii="Times New Roman" w:hAnsi="Times New Roman" w:cs="Times New Roman"/>
        </w:rPr>
        <w:t xml:space="preserve">inspections, </w:t>
      </w:r>
      <w:r w:rsidR="00C156C2">
        <w:rPr>
          <w:rFonts w:ascii="Times New Roman" w:hAnsi="Times New Roman" w:cs="Times New Roman"/>
        </w:rPr>
        <w:t xml:space="preserve">whistleblower protections, </w:t>
      </w:r>
      <w:r w:rsidR="00EB6350">
        <w:rPr>
          <w:rFonts w:ascii="Times New Roman" w:hAnsi="Times New Roman" w:cs="Times New Roman"/>
        </w:rPr>
        <w:t xml:space="preserve">and </w:t>
      </w:r>
      <w:r w:rsidR="003C1C46">
        <w:rPr>
          <w:rFonts w:ascii="Times New Roman" w:hAnsi="Times New Roman" w:cs="Times New Roman"/>
        </w:rPr>
        <w:t>detailed enforcement</w:t>
      </w:r>
      <w:r w:rsidR="00536CE6">
        <w:rPr>
          <w:rFonts w:ascii="Times New Roman" w:hAnsi="Times New Roman" w:cs="Times New Roman"/>
        </w:rPr>
        <w:t xml:space="preserve"> mechanisms</w:t>
      </w:r>
      <w:r w:rsidR="00EB6350">
        <w:rPr>
          <w:rFonts w:ascii="Times New Roman" w:hAnsi="Times New Roman" w:cs="Times New Roman"/>
        </w:rPr>
        <w:t xml:space="preserve">. </w:t>
      </w:r>
      <w:r w:rsidR="00AD3FD6">
        <w:rPr>
          <w:rFonts w:ascii="Times New Roman" w:hAnsi="Times New Roman" w:cs="Times New Roman"/>
        </w:rPr>
        <w:t xml:space="preserve">For OSHA purposes, a general contractor on a construction project </w:t>
      </w:r>
      <w:r w:rsidR="00BE5BD9">
        <w:rPr>
          <w:rFonts w:ascii="Times New Roman" w:hAnsi="Times New Roman" w:cs="Times New Roman"/>
        </w:rPr>
        <w:t>may be</w:t>
      </w:r>
      <w:r w:rsidR="00CC7A75">
        <w:rPr>
          <w:rFonts w:ascii="Times New Roman" w:hAnsi="Times New Roman" w:cs="Times New Roman"/>
        </w:rPr>
        <w:t xml:space="preserve"> responsible not only for </w:t>
      </w:r>
      <w:r w:rsidR="002D6194">
        <w:rPr>
          <w:rFonts w:ascii="Times New Roman" w:hAnsi="Times New Roman" w:cs="Times New Roman"/>
        </w:rPr>
        <w:t xml:space="preserve">the </w:t>
      </w:r>
      <w:r w:rsidR="00CC7A75">
        <w:rPr>
          <w:rFonts w:ascii="Times New Roman" w:hAnsi="Times New Roman" w:cs="Times New Roman"/>
        </w:rPr>
        <w:t xml:space="preserve">safety of </w:t>
      </w:r>
      <w:r w:rsidR="00AD3FD6">
        <w:rPr>
          <w:rFonts w:ascii="Times New Roman" w:hAnsi="Times New Roman" w:cs="Times New Roman"/>
        </w:rPr>
        <w:t>its direct employees but also of its subcontractors’ employees. Although OSHA does not create a private right of action, an OSHA regulation may be relevant to</w:t>
      </w:r>
      <w:r w:rsidR="0061217F">
        <w:rPr>
          <w:rFonts w:ascii="Times New Roman" w:hAnsi="Times New Roman" w:cs="Times New Roman"/>
        </w:rPr>
        <w:t xml:space="preserve"> establishing</w:t>
      </w:r>
      <w:r w:rsidR="00AD3FD6">
        <w:rPr>
          <w:rFonts w:ascii="Times New Roman" w:hAnsi="Times New Roman" w:cs="Times New Roman"/>
        </w:rPr>
        <w:t xml:space="preserve"> the applicable standard of care</w:t>
      </w:r>
      <w:r w:rsidR="007D64CC">
        <w:rPr>
          <w:rFonts w:ascii="Times New Roman" w:hAnsi="Times New Roman" w:cs="Times New Roman"/>
        </w:rPr>
        <w:t xml:space="preserve"> for tort law purposes</w:t>
      </w:r>
      <w:r w:rsidR="00AD3FD6">
        <w:rPr>
          <w:rFonts w:ascii="Times New Roman" w:hAnsi="Times New Roman" w:cs="Times New Roman"/>
        </w:rPr>
        <w:t>.</w:t>
      </w:r>
    </w:p>
    <w:p w14:paraId="12A378C5" w14:textId="11D11A6E" w:rsidR="005729EC" w:rsidRPr="00DF4F53" w:rsidRDefault="000121E5" w:rsidP="005729EC">
      <w:pPr>
        <w:rPr>
          <w:rFonts w:ascii="Times New Roman" w:eastAsia="Arial" w:hAnsi="Times New Roman" w:cs="Times New Roman"/>
        </w:rPr>
      </w:pPr>
      <w:r>
        <w:rPr>
          <w:rFonts w:ascii="Times New Roman" w:hAnsi="Times New Roman" w:cs="Times New Roman"/>
        </w:rPr>
        <w:tab/>
      </w:r>
      <w:r w:rsidR="00AD3FD6">
        <w:rPr>
          <w:rFonts w:ascii="Times New Roman" w:hAnsi="Times New Roman" w:cs="Times New Roman"/>
        </w:rPr>
        <w:t xml:space="preserve">Chapter 8 of the </w:t>
      </w:r>
      <w:r w:rsidR="00AD3FD6" w:rsidRPr="00D16CF6">
        <w:rPr>
          <w:rFonts w:ascii="Times New Roman" w:hAnsi="Times New Roman" w:cs="Times New Roman"/>
          <w:i/>
          <w:iCs/>
        </w:rPr>
        <w:t>Construction Industry Labor and Employment</w:t>
      </w:r>
      <w:r w:rsidR="00AD3FD6">
        <w:rPr>
          <w:rFonts w:ascii="Times New Roman" w:hAnsi="Times New Roman" w:cs="Times New Roman"/>
        </w:rPr>
        <w:t xml:space="preserve"> treatise available on Lexis provides a more comprehensive discussion of</w:t>
      </w:r>
      <w:r w:rsidR="00D2603C">
        <w:rPr>
          <w:rFonts w:ascii="Times New Roman" w:hAnsi="Times New Roman" w:cs="Times New Roman"/>
        </w:rPr>
        <w:t xml:space="preserve"> </w:t>
      </w:r>
      <w:r w:rsidR="00AD3FD6">
        <w:rPr>
          <w:rFonts w:ascii="Times New Roman" w:hAnsi="Times New Roman" w:cs="Times New Roman"/>
        </w:rPr>
        <w:t xml:space="preserve">OSHA </w:t>
      </w:r>
      <w:r w:rsidR="0029783C">
        <w:rPr>
          <w:rFonts w:ascii="Times New Roman" w:hAnsi="Times New Roman" w:cs="Times New Roman"/>
        </w:rPr>
        <w:t>regulations</w:t>
      </w:r>
      <w:r w:rsidR="00A94DBB">
        <w:rPr>
          <w:rFonts w:ascii="Times New Roman" w:hAnsi="Times New Roman" w:cs="Times New Roman"/>
        </w:rPr>
        <w:t xml:space="preserve"> </w:t>
      </w:r>
      <w:r w:rsidR="0053084F">
        <w:rPr>
          <w:rFonts w:ascii="Times New Roman" w:hAnsi="Times New Roman" w:cs="Times New Roman"/>
        </w:rPr>
        <w:t>applicable to</w:t>
      </w:r>
      <w:r w:rsidR="00AD3FD6">
        <w:rPr>
          <w:rFonts w:ascii="Times New Roman" w:hAnsi="Times New Roman" w:cs="Times New Roman"/>
        </w:rPr>
        <w:t xml:space="preserve"> construction </w:t>
      </w:r>
      <w:r w:rsidR="0053084F">
        <w:rPr>
          <w:rFonts w:ascii="Times New Roman" w:hAnsi="Times New Roman" w:cs="Times New Roman"/>
        </w:rPr>
        <w:lastRenderedPageBreak/>
        <w:t>activities</w:t>
      </w:r>
      <w:r w:rsidR="00AD3FD6">
        <w:rPr>
          <w:rFonts w:ascii="Times New Roman" w:hAnsi="Times New Roman" w:cs="Times New Roman"/>
        </w:rPr>
        <w:t>.</w:t>
      </w:r>
      <w:r w:rsidR="00AD3FD6">
        <w:rPr>
          <w:rFonts w:ascii="Times New Roman" w:hAnsi="Times New Roman" w:cs="Times New Roman"/>
        </w:rPr>
        <w:t xml:space="preserve"> </w:t>
      </w:r>
      <w:r w:rsidR="005729EC">
        <w:rPr>
          <w:rFonts w:ascii="Times New Roman" w:hAnsi="Times New Roman" w:cs="Times New Roman"/>
        </w:rPr>
        <w:t>“</w:t>
      </w:r>
      <w:r w:rsidR="005729EC" w:rsidRPr="005729EC">
        <w:rPr>
          <w:rFonts w:ascii="Times New Roman" w:eastAsia="Arial" w:hAnsi="Times New Roman" w:cs="Times New Roman"/>
        </w:rPr>
        <w:t>Failure to comply with these rules can result in serious fines and penalties, suspension of work, and even criminal liability. The Occupational Safety and Health Administration enforces general as well as industry-specific standards and has developed a body of rules and regulations specific to the construction industry, in addition to rules for general industry.</w:t>
      </w:r>
      <w:r w:rsidR="005729EC">
        <w:rPr>
          <w:rFonts w:ascii="Times New Roman" w:eastAsia="Arial" w:hAnsi="Times New Roman" w:cs="Times New Roman"/>
        </w:rPr>
        <w:t>”</w:t>
      </w:r>
      <w:r w:rsidR="00D568CB">
        <w:rPr>
          <w:rFonts w:ascii="Times New Roman" w:eastAsia="Arial" w:hAnsi="Times New Roman" w:cs="Times New Roman"/>
        </w:rPr>
        <w:t xml:space="preserve"> </w:t>
      </w:r>
      <w:r w:rsidR="00151152">
        <w:rPr>
          <w:rFonts w:ascii="Times New Roman" w:eastAsia="Arial" w:hAnsi="Times New Roman" w:cs="Times New Roman"/>
        </w:rPr>
        <w:t>Wimberly, Lawson, Steckel, Schneider &amp; Stine P.C.,</w:t>
      </w:r>
      <w:r w:rsidR="00BD0185">
        <w:rPr>
          <w:rFonts w:ascii="Times New Roman" w:eastAsia="Arial" w:hAnsi="Times New Roman" w:cs="Times New Roman"/>
        </w:rPr>
        <w:t xml:space="preserve"> </w:t>
      </w:r>
      <w:r w:rsidR="00DF4F53" w:rsidRPr="00DF4F53">
        <w:rPr>
          <w:rFonts w:ascii="Times New Roman" w:eastAsia="Arial" w:hAnsi="Times New Roman" w:cs="Times New Roman"/>
          <w:i/>
          <w:iCs/>
        </w:rPr>
        <w:t xml:space="preserve">Construction Industry Labor and Employment </w:t>
      </w:r>
      <w:r w:rsidR="00DF4F53" w:rsidRPr="00DF4F53">
        <w:rPr>
          <w:rFonts w:ascii="Times New Roman" w:eastAsia="Arial" w:hAnsi="Times New Roman" w:cs="Times New Roman"/>
        </w:rPr>
        <w:t>§ 8.01</w:t>
      </w:r>
      <w:r w:rsidR="00BF2DEA">
        <w:rPr>
          <w:rFonts w:ascii="Times New Roman" w:eastAsia="Arial" w:hAnsi="Times New Roman" w:cs="Times New Roman"/>
        </w:rPr>
        <w:t xml:space="preserve"> (2026</w:t>
      </w:r>
      <w:r w:rsidR="00BD0185">
        <w:rPr>
          <w:rFonts w:ascii="Times New Roman" w:eastAsia="Arial" w:hAnsi="Times New Roman" w:cs="Times New Roman"/>
        </w:rPr>
        <w:t xml:space="preserve"> ed. Matthew Bender</w:t>
      </w:r>
      <w:r w:rsidR="00BF2DEA">
        <w:rPr>
          <w:rFonts w:ascii="Times New Roman" w:eastAsia="Arial" w:hAnsi="Times New Roman" w:cs="Times New Roman"/>
        </w:rPr>
        <w:t>)</w:t>
      </w:r>
      <w:r w:rsidR="00D271AD">
        <w:rPr>
          <w:rFonts w:ascii="Times New Roman" w:eastAsia="Arial" w:hAnsi="Times New Roman" w:cs="Times New Roman"/>
        </w:rPr>
        <w:t>. Standards specific to the construction industry</w:t>
      </w:r>
      <w:r w:rsidR="00AD3FD6">
        <w:rPr>
          <w:rFonts w:ascii="Times New Roman" w:eastAsia="Arial" w:hAnsi="Times New Roman" w:cs="Times New Roman"/>
        </w:rPr>
        <w:t xml:space="preserve"> include, for example, those relating </w:t>
      </w:r>
      <w:r w:rsidR="0045732B">
        <w:rPr>
          <w:rFonts w:ascii="Times New Roman" w:eastAsia="Arial" w:hAnsi="Times New Roman" w:cs="Times New Roman"/>
        </w:rPr>
        <w:t xml:space="preserve">to </w:t>
      </w:r>
      <w:r w:rsidR="00AD3FD6">
        <w:rPr>
          <w:rFonts w:ascii="Times New Roman" w:hAnsi="Times New Roman" w:cs="Times New Roman"/>
        </w:rPr>
        <w:t>falls, excavation</w:t>
      </w:r>
      <w:r w:rsidR="00A65272">
        <w:rPr>
          <w:rFonts w:ascii="Times New Roman" w:hAnsi="Times New Roman" w:cs="Times New Roman"/>
        </w:rPr>
        <w:t xml:space="preserve"> and trenching</w:t>
      </w:r>
      <w:r w:rsidR="00AD3FD6">
        <w:rPr>
          <w:rFonts w:ascii="Times New Roman" w:hAnsi="Times New Roman" w:cs="Times New Roman"/>
        </w:rPr>
        <w:t>,</w:t>
      </w:r>
      <w:r w:rsidR="006C6B76">
        <w:rPr>
          <w:rFonts w:ascii="Times New Roman" w:hAnsi="Times New Roman" w:cs="Times New Roman"/>
        </w:rPr>
        <w:t xml:space="preserve"> scaffolding, </w:t>
      </w:r>
      <w:r w:rsidR="00AD3FD6">
        <w:rPr>
          <w:rFonts w:ascii="Times New Roman" w:hAnsi="Times New Roman" w:cs="Times New Roman"/>
        </w:rPr>
        <w:t>cranes, and personal protective equipment.</w:t>
      </w:r>
    </w:p>
    <w:p w14:paraId="51C71CA2" w14:textId="5C71A7DD" w:rsidR="00755334" w:rsidRDefault="00755334" w:rsidP="00BE68D5">
      <w:pPr>
        <w:rPr>
          <w:rFonts w:ascii="Times New Roman" w:hAnsi="Times New Roman" w:cs="Times New Roman"/>
        </w:rPr>
      </w:pPr>
      <w:r>
        <w:rPr>
          <w:rFonts w:ascii="Times New Roman" w:hAnsi="Times New Roman" w:cs="Times New Roman"/>
        </w:rPr>
        <w:tab/>
      </w:r>
      <w:r w:rsidR="008D042B">
        <w:rPr>
          <w:rFonts w:ascii="Times New Roman" w:hAnsi="Times New Roman" w:cs="Times New Roman"/>
        </w:rPr>
        <w:t xml:space="preserve">Beyond safety responsibilities imposed under statutes and </w:t>
      </w:r>
      <w:r w:rsidR="00A8554B">
        <w:rPr>
          <w:rFonts w:ascii="Times New Roman" w:hAnsi="Times New Roman" w:cs="Times New Roman"/>
        </w:rPr>
        <w:t>government</w:t>
      </w:r>
      <w:r w:rsidR="008D042B">
        <w:rPr>
          <w:rFonts w:ascii="Times New Roman" w:hAnsi="Times New Roman" w:cs="Times New Roman"/>
        </w:rPr>
        <w:t xml:space="preserve"> regulations, </w:t>
      </w:r>
      <w:r w:rsidR="00093859">
        <w:rPr>
          <w:rFonts w:ascii="Times New Roman" w:hAnsi="Times New Roman" w:cs="Times New Roman"/>
        </w:rPr>
        <w:t>design and construction contracts routinely allocate responsibility for safety</w:t>
      </w:r>
      <w:r w:rsidR="007B253C" w:rsidRPr="007B253C">
        <w:rPr>
          <w:rFonts w:ascii="Times New Roman" w:hAnsi="Times New Roman" w:cs="Times New Roman"/>
        </w:rPr>
        <w:t xml:space="preserve"> </w:t>
      </w:r>
      <w:r w:rsidR="007B253C">
        <w:rPr>
          <w:rFonts w:ascii="Times New Roman" w:hAnsi="Times New Roman" w:cs="Times New Roman"/>
        </w:rPr>
        <w:t>from a private law perspective</w:t>
      </w:r>
      <w:r w:rsidR="00093859">
        <w:rPr>
          <w:rFonts w:ascii="Times New Roman" w:hAnsi="Times New Roman" w:cs="Times New Roman"/>
        </w:rPr>
        <w:t xml:space="preserve">. </w:t>
      </w:r>
      <w:r w:rsidR="00654A45">
        <w:rPr>
          <w:rFonts w:ascii="Times New Roman" w:hAnsi="Times New Roman" w:cs="Times New Roman"/>
        </w:rPr>
        <w:t xml:space="preserve">The most common contractual provisions </w:t>
      </w:r>
      <w:r w:rsidR="00B72F3D">
        <w:rPr>
          <w:rFonts w:ascii="Times New Roman" w:hAnsi="Times New Roman" w:cs="Times New Roman"/>
        </w:rPr>
        <w:t>specify that</w:t>
      </w:r>
      <w:r w:rsidR="006C7DB8">
        <w:rPr>
          <w:rFonts w:ascii="Times New Roman" w:hAnsi="Times New Roman" w:cs="Times New Roman"/>
        </w:rPr>
        <w:t xml:space="preserve"> the project’s general contractor and </w:t>
      </w:r>
      <w:r w:rsidR="00D0420F">
        <w:rPr>
          <w:rFonts w:ascii="Times New Roman" w:hAnsi="Times New Roman" w:cs="Times New Roman"/>
        </w:rPr>
        <w:t xml:space="preserve">its </w:t>
      </w:r>
      <w:r w:rsidR="00B72F3D">
        <w:rPr>
          <w:rFonts w:ascii="Times New Roman" w:hAnsi="Times New Roman" w:cs="Times New Roman"/>
        </w:rPr>
        <w:t>subcontractors</w:t>
      </w:r>
      <w:r w:rsidR="00E10E2E">
        <w:rPr>
          <w:rFonts w:ascii="Times New Roman" w:hAnsi="Times New Roman" w:cs="Times New Roman"/>
        </w:rPr>
        <w:t>, and not the project’s owner or design professionals</w:t>
      </w:r>
      <w:r w:rsidR="003A0E32">
        <w:rPr>
          <w:rFonts w:ascii="Times New Roman" w:hAnsi="Times New Roman" w:cs="Times New Roman"/>
        </w:rPr>
        <w:t>,</w:t>
      </w:r>
      <w:r w:rsidR="00B72F3D">
        <w:rPr>
          <w:rFonts w:ascii="Times New Roman" w:hAnsi="Times New Roman" w:cs="Times New Roman"/>
        </w:rPr>
        <w:t xml:space="preserve"> are responsible for </w:t>
      </w:r>
      <w:r w:rsidR="00E10E2E">
        <w:rPr>
          <w:rFonts w:ascii="Times New Roman" w:hAnsi="Times New Roman" w:cs="Times New Roman"/>
        </w:rPr>
        <w:t xml:space="preserve">safety. These contracts </w:t>
      </w:r>
      <w:r w:rsidR="00B908AC">
        <w:rPr>
          <w:rFonts w:ascii="Times New Roman" w:hAnsi="Times New Roman" w:cs="Times New Roman"/>
        </w:rPr>
        <w:t>typically require general contractors and subcontractors to maintain liability insurance</w:t>
      </w:r>
      <w:r w:rsidR="00B079A7">
        <w:rPr>
          <w:rFonts w:ascii="Times New Roman" w:hAnsi="Times New Roman" w:cs="Times New Roman"/>
        </w:rPr>
        <w:t xml:space="preserve"> and to indemnify </w:t>
      </w:r>
      <w:r w:rsidR="00082C7D">
        <w:rPr>
          <w:rFonts w:ascii="Times New Roman" w:hAnsi="Times New Roman" w:cs="Times New Roman"/>
        </w:rPr>
        <w:t xml:space="preserve">the project owner and its design professionals against </w:t>
      </w:r>
      <w:r w:rsidR="00FB16DB">
        <w:rPr>
          <w:rFonts w:ascii="Times New Roman" w:hAnsi="Times New Roman" w:cs="Times New Roman"/>
        </w:rPr>
        <w:t>liability for</w:t>
      </w:r>
      <w:r w:rsidR="00082C7D">
        <w:rPr>
          <w:rFonts w:ascii="Times New Roman" w:hAnsi="Times New Roman" w:cs="Times New Roman"/>
        </w:rPr>
        <w:t xml:space="preserve"> many safety-related claims.</w:t>
      </w:r>
    </w:p>
    <w:p w14:paraId="6D3C3779" w14:textId="7047216A" w:rsidR="00CD7493" w:rsidRDefault="00CD7493" w:rsidP="00BE68D5">
      <w:pPr>
        <w:rPr>
          <w:rFonts w:ascii="Times New Roman" w:hAnsi="Times New Roman" w:cs="Times New Roman"/>
        </w:rPr>
      </w:pPr>
      <w:r>
        <w:rPr>
          <w:rFonts w:ascii="Times New Roman" w:hAnsi="Times New Roman" w:cs="Times New Roman"/>
        </w:rPr>
        <w:tab/>
      </w:r>
      <w:r w:rsidR="00DC4E01">
        <w:rPr>
          <w:rFonts w:ascii="Times New Roman" w:hAnsi="Times New Roman" w:cs="Times New Roman"/>
        </w:rPr>
        <w:t>Section 13.03 of the Forum Textbook Safety Chapter</w:t>
      </w:r>
      <w:r w:rsidR="00841917">
        <w:rPr>
          <w:rFonts w:ascii="Times New Roman" w:hAnsi="Times New Roman" w:cs="Times New Roman"/>
        </w:rPr>
        <w:t xml:space="preserve"> briefly</w:t>
      </w:r>
      <w:r w:rsidR="00EC14FD">
        <w:rPr>
          <w:rFonts w:ascii="Times New Roman" w:hAnsi="Times New Roman" w:cs="Times New Roman"/>
        </w:rPr>
        <w:t xml:space="preserve"> discusses the</w:t>
      </w:r>
      <w:r>
        <w:rPr>
          <w:rFonts w:ascii="Times New Roman" w:hAnsi="Times New Roman" w:cs="Times New Roman"/>
        </w:rPr>
        <w:t xml:space="preserve"> vast body of law</w:t>
      </w:r>
      <w:r w:rsidR="00EC14FD">
        <w:rPr>
          <w:rFonts w:ascii="Times New Roman" w:hAnsi="Times New Roman" w:cs="Times New Roman"/>
        </w:rPr>
        <w:t xml:space="preserve"> governing </w:t>
      </w:r>
      <w:r w:rsidR="00FB6551">
        <w:rPr>
          <w:rFonts w:ascii="Times New Roman" w:hAnsi="Times New Roman" w:cs="Times New Roman"/>
        </w:rPr>
        <w:t xml:space="preserve">compensation for loss of life, </w:t>
      </w:r>
      <w:r w:rsidR="0029042E">
        <w:rPr>
          <w:rFonts w:ascii="Times New Roman" w:hAnsi="Times New Roman" w:cs="Times New Roman"/>
        </w:rPr>
        <w:t>bodily</w:t>
      </w:r>
      <w:r w:rsidR="00FB6551">
        <w:rPr>
          <w:rFonts w:ascii="Times New Roman" w:hAnsi="Times New Roman" w:cs="Times New Roman"/>
        </w:rPr>
        <w:t xml:space="preserve"> injuries, and property damage</w:t>
      </w:r>
      <w:r w:rsidR="00EC14FD">
        <w:rPr>
          <w:rFonts w:ascii="Times New Roman" w:hAnsi="Times New Roman" w:cs="Times New Roman"/>
        </w:rPr>
        <w:t xml:space="preserve"> attributable to construction activities. </w:t>
      </w:r>
      <w:r w:rsidR="00C2676C">
        <w:rPr>
          <w:rFonts w:ascii="Times New Roman" w:hAnsi="Times New Roman" w:cs="Times New Roman"/>
        </w:rPr>
        <w:t>It begins with</w:t>
      </w:r>
      <w:r w:rsidR="00841917">
        <w:rPr>
          <w:rFonts w:ascii="Times New Roman" w:hAnsi="Times New Roman" w:cs="Times New Roman"/>
        </w:rPr>
        <w:t xml:space="preserve"> state</w:t>
      </w:r>
      <w:r w:rsidR="00C2676C">
        <w:rPr>
          <w:rFonts w:ascii="Times New Roman" w:hAnsi="Times New Roman" w:cs="Times New Roman"/>
        </w:rPr>
        <w:t xml:space="preserve"> workers</w:t>
      </w:r>
      <w:r w:rsidR="001227B4">
        <w:rPr>
          <w:rFonts w:ascii="Times New Roman" w:hAnsi="Times New Roman" w:cs="Times New Roman"/>
        </w:rPr>
        <w:t xml:space="preserve"> </w:t>
      </w:r>
      <w:r w:rsidR="00667154">
        <w:rPr>
          <w:rFonts w:ascii="Times New Roman" w:hAnsi="Times New Roman" w:cs="Times New Roman"/>
        </w:rPr>
        <w:t>‘</w:t>
      </w:r>
      <w:r w:rsidR="001227B4">
        <w:rPr>
          <w:rFonts w:ascii="Times New Roman" w:hAnsi="Times New Roman" w:cs="Times New Roman"/>
        </w:rPr>
        <w:t>compensation laws</w:t>
      </w:r>
      <w:r w:rsidR="007B242C">
        <w:rPr>
          <w:rFonts w:ascii="Times New Roman" w:hAnsi="Times New Roman" w:cs="Times New Roman"/>
        </w:rPr>
        <w:t xml:space="preserve">, which essentially </w:t>
      </w:r>
      <w:r w:rsidR="00903074">
        <w:rPr>
          <w:rFonts w:ascii="Times New Roman" w:hAnsi="Times New Roman" w:cs="Times New Roman"/>
        </w:rPr>
        <w:t>afford</w:t>
      </w:r>
      <w:r w:rsidR="00BA3EB1">
        <w:rPr>
          <w:rFonts w:ascii="Times New Roman" w:hAnsi="Times New Roman" w:cs="Times New Roman"/>
        </w:rPr>
        <w:t xml:space="preserve"> </w:t>
      </w:r>
      <w:r w:rsidR="0091324F">
        <w:rPr>
          <w:rFonts w:ascii="Times New Roman" w:hAnsi="Times New Roman" w:cs="Times New Roman"/>
        </w:rPr>
        <w:t xml:space="preserve">no-fault insurance </w:t>
      </w:r>
      <w:r w:rsidR="00516C7F">
        <w:rPr>
          <w:rFonts w:ascii="Times New Roman" w:hAnsi="Times New Roman" w:cs="Times New Roman"/>
        </w:rPr>
        <w:t>compensat</w:t>
      </w:r>
      <w:r w:rsidR="0073065D">
        <w:rPr>
          <w:rFonts w:ascii="Times New Roman" w:hAnsi="Times New Roman" w:cs="Times New Roman"/>
        </w:rPr>
        <w:t>ion for</w:t>
      </w:r>
      <w:r w:rsidR="00516C7F">
        <w:rPr>
          <w:rFonts w:ascii="Times New Roman" w:hAnsi="Times New Roman" w:cs="Times New Roman"/>
        </w:rPr>
        <w:t xml:space="preserve"> injured workers in exchange for</w:t>
      </w:r>
      <w:r w:rsidR="006047F1">
        <w:rPr>
          <w:rFonts w:ascii="Times New Roman" w:hAnsi="Times New Roman" w:cs="Times New Roman"/>
        </w:rPr>
        <w:t xml:space="preserve"> </w:t>
      </w:r>
      <w:r w:rsidR="00696AD9">
        <w:rPr>
          <w:rFonts w:ascii="Times New Roman" w:hAnsi="Times New Roman" w:cs="Times New Roman"/>
        </w:rPr>
        <w:t>shielding</w:t>
      </w:r>
      <w:r w:rsidR="006047F1">
        <w:rPr>
          <w:rFonts w:ascii="Times New Roman" w:hAnsi="Times New Roman" w:cs="Times New Roman"/>
        </w:rPr>
        <w:t xml:space="preserve"> the employer carrying the insurance from</w:t>
      </w:r>
      <w:r w:rsidR="00225034">
        <w:rPr>
          <w:rFonts w:ascii="Times New Roman" w:hAnsi="Times New Roman" w:cs="Times New Roman"/>
        </w:rPr>
        <w:t xml:space="preserve"> most</w:t>
      </w:r>
      <w:r w:rsidR="006047F1">
        <w:rPr>
          <w:rFonts w:ascii="Times New Roman" w:hAnsi="Times New Roman" w:cs="Times New Roman"/>
        </w:rPr>
        <w:t xml:space="preserve"> </w:t>
      </w:r>
      <w:r w:rsidR="009547E9">
        <w:rPr>
          <w:rFonts w:ascii="Times New Roman" w:hAnsi="Times New Roman" w:cs="Times New Roman"/>
        </w:rPr>
        <w:t xml:space="preserve">fault-based </w:t>
      </w:r>
      <w:r w:rsidR="006047F1">
        <w:rPr>
          <w:rFonts w:ascii="Times New Roman" w:hAnsi="Times New Roman" w:cs="Times New Roman"/>
        </w:rPr>
        <w:t>tort liability</w:t>
      </w:r>
      <w:r w:rsidR="009547E9">
        <w:rPr>
          <w:rFonts w:ascii="Times New Roman" w:hAnsi="Times New Roman" w:cs="Times New Roman"/>
        </w:rPr>
        <w:t>.</w:t>
      </w:r>
      <w:r w:rsidR="00F91B82">
        <w:rPr>
          <w:rFonts w:ascii="Times New Roman" w:hAnsi="Times New Roman" w:cs="Times New Roman"/>
        </w:rPr>
        <w:t xml:space="preserve"> </w:t>
      </w:r>
      <w:r w:rsidR="00391151">
        <w:rPr>
          <w:rFonts w:ascii="Times New Roman" w:hAnsi="Times New Roman" w:cs="Times New Roman"/>
        </w:rPr>
        <w:t xml:space="preserve">Where </w:t>
      </w:r>
      <w:r w:rsidR="00C22706">
        <w:rPr>
          <w:rFonts w:ascii="Times New Roman" w:hAnsi="Times New Roman" w:cs="Times New Roman"/>
        </w:rPr>
        <w:t xml:space="preserve">either </w:t>
      </w:r>
      <w:r w:rsidR="00391151">
        <w:rPr>
          <w:rFonts w:ascii="Times New Roman" w:hAnsi="Times New Roman" w:cs="Times New Roman"/>
        </w:rPr>
        <w:t>the</w:t>
      </w:r>
      <w:r w:rsidR="005B7CEC">
        <w:rPr>
          <w:rFonts w:ascii="Times New Roman" w:hAnsi="Times New Roman" w:cs="Times New Roman"/>
        </w:rPr>
        <w:t xml:space="preserve"> injur</w:t>
      </w:r>
      <w:r w:rsidR="00C22706">
        <w:rPr>
          <w:rFonts w:ascii="Times New Roman" w:hAnsi="Times New Roman" w:cs="Times New Roman"/>
        </w:rPr>
        <w:t xml:space="preserve">ed person </w:t>
      </w:r>
      <w:r w:rsidR="005B7CEC">
        <w:rPr>
          <w:rFonts w:ascii="Times New Roman" w:hAnsi="Times New Roman" w:cs="Times New Roman"/>
        </w:rPr>
        <w:t>is not</w:t>
      </w:r>
      <w:r w:rsidR="00C22706">
        <w:rPr>
          <w:rFonts w:ascii="Times New Roman" w:hAnsi="Times New Roman" w:cs="Times New Roman"/>
        </w:rPr>
        <w:t xml:space="preserve"> covered by</w:t>
      </w:r>
      <w:r w:rsidR="00667154">
        <w:rPr>
          <w:rFonts w:ascii="Times New Roman" w:hAnsi="Times New Roman" w:cs="Times New Roman"/>
        </w:rPr>
        <w:t xml:space="preserve"> workers’ compensation insurance or the defendant is</w:t>
      </w:r>
      <w:r w:rsidR="00BF3C93">
        <w:rPr>
          <w:rFonts w:ascii="Times New Roman" w:hAnsi="Times New Roman" w:cs="Times New Roman"/>
        </w:rPr>
        <w:t xml:space="preserve"> not </w:t>
      </w:r>
      <w:r w:rsidR="00410943">
        <w:rPr>
          <w:rFonts w:ascii="Times New Roman" w:hAnsi="Times New Roman" w:cs="Times New Roman"/>
        </w:rPr>
        <w:t xml:space="preserve">entitled to </w:t>
      </w:r>
      <w:r w:rsidR="002701C7">
        <w:rPr>
          <w:rFonts w:ascii="Times New Roman" w:hAnsi="Times New Roman" w:cs="Times New Roman"/>
        </w:rPr>
        <w:t xml:space="preserve">the </w:t>
      </w:r>
      <w:r w:rsidR="007E1175">
        <w:rPr>
          <w:rFonts w:ascii="Times New Roman" w:hAnsi="Times New Roman" w:cs="Times New Roman"/>
        </w:rPr>
        <w:t xml:space="preserve">protection </w:t>
      </w:r>
      <w:r w:rsidR="002701C7">
        <w:rPr>
          <w:rFonts w:ascii="Times New Roman" w:hAnsi="Times New Roman" w:cs="Times New Roman"/>
        </w:rPr>
        <w:t xml:space="preserve">the applicable workers’ compensation </w:t>
      </w:r>
      <w:r w:rsidR="00684499">
        <w:rPr>
          <w:rFonts w:ascii="Times New Roman" w:hAnsi="Times New Roman" w:cs="Times New Roman"/>
        </w:rPr>
        <w:t xml:space="preserve">system </w:t>
      </w:r>
      <w:r w:rsidR="000C001D">
        <w:rPr>
          <w:rFonts w:ascii="Times New Roman" w:hAnsi="Times New Roman" w:cs="Times New Roman"/>
        </w:rPr>
        <w:t>provides</w:t>
      </w:r>
      <w:r w:rsidR="00684499">
        <w:rPr>
          <w:rFonts w:ascii="Times New Roman" w:hAnsi="Times New Roman" w:cs="Times New Roman"/>
        </w:rPr>
        <w:t>, ordinary tort principles govern recovery. Thus,</w:t>
      </w:r>
      <w:r w:rsidR="00193D43">
        <w:rPr>
          <w:rFonts w:ascii="Times New Roman" w:hAnsi="Times New Roman" w:cs="Times New Roman"/>
        </w:rPr>
        <w:t xml:space="preserve"> when</w:t>
      </w:r>
      <w:r w:rsidR="0003488C">
        <w:rPr>
          <w:rFonts w:ascii="Times New Roman" w:hAnsi="Times New Roman" w:cs="Times New Roman"/>
        </w:rPr>
        <w:t xml:space="preserve"> </w:t>
      </w:r>
      <w:r w:rsidR="00D93F3B">
        <w:rPr>
          <w:rFonts w:ascii="Times New Roman" w:hAnsi="Times New Roman" w:cs="Times New Roman"/>
        </w:rPr>
        <w:t>the defendant is not the plaintiff’s employer, as well as when</w:t>
      </w:r>
      <w:r w:rsidR="00FF6E68">
        <w:rPr>
          <w:rFonts w:ascii="Times New Roman" w:hAnsi="Times New Roman" w:cs="Times New Roman"/>
        </w:rPr>
        <w:t xml:space="preserve"> design services or construction </w:t>
      </w:r>
      <w:r w:rsidR="007C065A">
        <w:rPr>
          <w:rFonts w:ascii="Times New Roman" w:hAnsi="Times New Roman" w:cs="Times New Roman"/>
        </w:rPr>
        <w:t>activities</w:t>
      </w:r>
      <w:r w:rsidR="0003488C">
        <w:rPr>
          <w:rFonts w:ascii="Times New Roman" w:hAnsi="Times New Roman" w:cs="Times New Roman"/>
        </w:rPr>
        <w:t xml:space="preserve"> cause death, injury, or property damage to a</w:t>
      </w:r>
      <w:r w:rsidR="00193D43">
        <w:rPr>
          <w:rFonts w:ascii="Times New Roman" w:hAnsi="Times New Roman" w:cs="Times New Roman"/>
        </w:rPr>
        <w:t xml:space="preserve"> member of the general</w:t>
      </w:r>
      <w:r w:rsidR="005C313D">
        <w:rPr>
          <w:rFonts w:ascii="Times New Roman" w:hAnsi="Times New Roman" w:cs="Times New Roman"/>
        </w:rPr>
        <w:t xml:space="preserve"> public</w:t>
      </w:r>
      <w:r w:rsidR="00D93F3B">
        <w:rPr>
          <w:rFonts w:ascii="Times New Roman" w:hAnsi="Times New Roman" w:cs="Times New Roman"/>
        </w:rPr>
        <w:t xml:space="preserve">, </w:t>
      </w:r>
      <w:r w:rsidR="00FE0FFD">
        <w:rPr>
          <w:rFonts w:ascii="Times New Roman" w:hAnsi="Times New Roman" w:cs="Times New Roman"/>
        </w:rPr>
        <w:t xml:space="preserve">a cause of action may be based </w:t>
      </w:r>
      <w:r w:rsidR="00030A48">
        <w:rPr>
          <w:rFonts w:ascii="Times New Roman" w:hAnsi="Times New Roman" w:cs="Times New Roman"/>
        </w:rPr>
        <w:t xml:space="preserve">on </w:t>
      </w:r>
      <w:r w:rsidR="00A308E7">
        <w:rPr>
          <w:rFonts w:ascii="Times New Roman" w:hAnsi="Times New Roman" w:cs="Times New Roman"/>
        </w:rPr>
        <w:t>negligence, premises liability principles, or other</w:t>
      </w:r>
      <w:r w:rsidR="00757549">
        <w:rPr>
          <w:rFonts w:ascii="Times New Roman" w:hAnsi="Times New Roman" w:cs="Times New Roman"/>
        </w:rPr>
        <w:t xml:space="preserve"> theories of tort </w:t>
      </w:r>
      <w:r w:rsidR="000A6BAF">
        <w:rPr>
          <w:rFonts w:ascii="Times New Roman" w:hAnsi="Times New Roman" w:cs="Times New Roman"/>
        </w:rPr>
        <w:t>law</w:t>
      </w:r>
      <w:r w:rsidR="00757549">
        <w:rPr>
          <w:rFonts w:ascii="Times New Roman" w:hAnsi="Times New Roman" w:cs="Times New Roman"/>
        </w:rPr>
        <w:t xml:space="preserve">. </w:t>
      </w:r>
      <w:r w:rsidR="002A1C50">
        <w:rPr>
          <w:rFonts w:ascii="Times New Roman" w:hAnsi="Times New Roman" w:cs="Times New Roman"/>
        </w:rPr>
        <w:t xml:space="preserve">Even though a project owner </w:t>
      </w:r>
      <w:r w:rsidR="005D29A6">
        <w:rPr>
          <w:rFonts w:ascii="Times New Roman" w:hAnsi="Times New Roman" w:cs="Times New Roman"/>
        </w:rPr>
        <w:t>is</w:t>
      </w:r>
      <w:r w:rsidR="00C733C7">
        <w:rPr>
          <w:rFonts w:ascii="Times New Roman" w:hAnsi="Times New Roman" w:cs="Times New Roman"/>
        </w:rPr>
        <w:t xml:space="preserve"> not normally responsible for </w:t>
      </w:r>
      <w:r w:rsidR="00C15D2F">
        <w:rPr>
          <w:rFonts w:ascii="Times New Roman" w:hAnsi="Times New Roman" w:cs="Times New Roman"/>
        </w:rPr>
        <w:t>construction safety</w:t>
      </w:r>
      <w:r w:rsidR="00410C2D">
        <w:rPr>
          <w:rFonts w:ascii="Times New Roman" w:hAnsi="Times New Roman" w:cs="Times New Roman"/>
        </w:rPr>
        <w:t xml:space="preserve"> </w:t>
      </w:r>
      <w:r w:rsidR="00C15D2F">
        <w:rPr>
          <w:rFonts w:ascii="Times New Roman" w:hAnsi="Times New Roman" w:cs="Times New Roman"/>
        </w:rPr>
        <w:t>(</w:t>
      </w:r>
      <w:r w:rsidR="00410C2D">
        <w:rPr>
          <w:rFonts w:ascii="Times New Roman" w:hAnsi="Times New Roman" w:cs="Times New Roman"/>
        </w:rPr>
        <w:t xml:space="preserve">i.e., </w:t>
      </w:r>
      <w:r w:rsidR="00C15D2F">
        <w:rPr>
          <w:rFonts w:ascii="Times New Roman" w:hAnsi="Times New Roman" w:cs="Times New Roman"/>
        </w:rPr>
        <w:t xml:space="preserve">has no </w:t>
      </w:r>
      <w:r w:rsidR="00410C2D">
        <w:rPr>
          <w:rFonts w:ascii="Times New Roman" w:hAnsi="Times New Roman" w:cs="Times New Roman"/>
        </w:rPr>
        <w:t>tort</w:t>
      </w:r>
      <w:r w:rsidR="00C15D2F">
        <w:rPr>
          <w:rFonts w:ascii="Times New Roman" w:hAnsi="Times New Roman" w:cs="Times New Roman"/>
        </w:rPr>
        <w:t xml:space="preserve"> duty</w:t>
      </w:r>
      <w:r w:rsidR="00410C2D">
        <w:rPr>
          <w:rFonts w:ascii="Times New Roman" w:hAnsi="Times New Roman" w:cs="Times New Roman"/>
        </w:rPr>
        <w:t xml:space="preserve"> of care</w:t>
      </w:r>
      <w:r w:rsidR="00C15D2F">
        <w:rPr>
          <w:rFonts w:ascii="Times New Roman" w:hAnsi="Times New Roman" w:cs="Times New Roman"/>
        </w:rPr>
        <w:t xml:space="preserve"> </w:t>
      </w:r>
      <w:r w:rsidR="005C7C79">
        <w:rPr>
          <w:rFonts w:ascii="Times New Roman" w:hAnsi="Times New Roman" w:cs="Times New Roman"/>
        </w:rPr>
        <w:t xml:space="preserve">or express contractual </w:t>
      </w:r>
      <w:r w:rsidR="00AE3BE5">
        <w:rPr>
          <w:rFonts w:ascii="Times New Roman" w:hAnsi="Times New Roman" w:cs="Times New Roman"/>
        </w:rPr>
        <w:t xml:space="preserve">liability </w:t>
      </w:r>
      <w:r w:rsidR="00C15D2F">
        <w:rPr>
          <w:rFonts w:ascii="Times New Roman" w:hAnsi="Times New Roman" w:cs="Times New Roman"/>
        </w:rPr>
        <w:t xml:space="preserve">in that regard), an owner who </w:t>
      </w:r>
      <w:r w:rsidR="00C10303">
        <w:rPr>
          <w:rFonts w:ascii="Times New Roman" w:hAnsi="Times New Roman" w:cs="Times New Roman"/>
        </w:rPr>
        <w:t>retains or exercises sufficient</w:t>
      </w:r>
      <w:r w:rsidR="00D558D6">
        <w:rPr>
          <w:rFonts w:ascii="Times New Roman" w:hAnsi="Times New Roman" w:cs="Times New Roman"/>
        </w:rPr>
        <w:t xml:space="preserve"> control over the work</w:t>
      </w:r>
      <w:r w:rsidR="00023BF7">
        <w:rPr>
          <w:rFonts w:ascii="Times New Roman" w:hAnsi="Times New Roman" w:cs="Times New Roman"/>
        </w:rPr>
        <w:t xml:space="preserve"> </w:t>
      </w:r>
      <w:r w:rsidR="005D29A6">
        <w:rPr>
          <w:rFonts w:ascii="Times New Roman" w:hAnsi="Times New Roman" w:cs="Times New Roman"/>
        </w:rPr>
        <w:t>or the project site may be liable</w:t>
      </w:r>
      <w:r w:rsidR="006162CE">
        <w:rPr>
          <w:rFonts w:ascii="Times New Roman" w:hAnsi="Times New Roman" w:cs="Times New Roman"/>
        </w:rPr>
        <w:t xml:space="preserve"> for</w:t>
      </w:r>
      <w:r w:rsidR="00327278">
        <w:rPr>
          <w:rFonts w:ascii="Times New Roman" w:hAnsi="Times New Roman" w:cs="Times New Roman"/>
        </w:rPr>
        <w:t xml:space="preserve"> construction-related damages. </w:t>
      </w:r>
      <w:r w:rsidR="00A04D27">
        <w:rPr>
          <w:rFonts w:ascii="Times New Roman" w:hAnsi="Times New Roman" w:cs="Times New Roman"/>
        </w:rPr>
        <w:t>“</w:t>
      </w:r>
      <w:r w:rsidR="00A6480C">
        <w:rPr>
          <w:rFonts w:ascii="Times New Roman" w:hAnsi="Times New Roman" w:cs="Times New Roman"/>
        </w:rPr>
        <w:t xml:space="preserve">Control of the work, however, is often a close question involving important policy issues . .  .” </w:t>
      </w:r>
      <w:r w:rsidR="00327A66">
        <w:rPr>
          <w:rFonts w:ascii="Times New Roman" w:hAnsi="Times New Roman" w:cs="Times New Roman"/>
        </w:rPr>
        <w:t xml:space="preserve">Forum Textbook </w:t>
      </w:r>
      <w:r w:rsidR="00CB117F">
        <w:rPr>
          <w:rFonts w:ascii="Times New Roman" w:hAnsi="Times New Roman" w:cs="Times New Roman"/>
        </w:rPr>
        <w:t xml:space="preserve">Safety Chapter at 406. </w:t>
      </w:r>
      <w:r w:rsidR="00AC5A6B">
        <w:rPr>
          <w:rFonts w:ascii="Times New Roman" w:hAnsi="Times New Roman" w:cs="Times New Roman"/>
        </w:rPr>
        <w:t xml:space="preserve">Determining whether or to what extent a project owner may be liable </w:t>
      </w:r>
      <w:r w:rsidR="0032322D">
        <w:rPr>
          <w:rFonts w:ascii="Times New Roman" w:hAnsi="Times New Roman" w:cs="Times New Roman"/>
        </w:rPr>
        <w:t>based on control is often a fact-intensive inquiry that requires a close reading of the cases</w:t>
      </w:r>
      <w:r w:rsidR="004B3490">
        <w:rPr>
          <w:rFonts w:ascii="Times New Roman" w:hAnsi="Times New Roman" w:cs="Times New Roman"/>
        </w:rPr>
        <w:t xml:space="preserve">. </w:t>
      </w:r>
      <w:r w:rsidR="0028450C">
        <w:rPr>
          <w:rFonts w:ascii="Times New Roman" w:hAnsi="Times New Roman" w:cs="Times New Roman"/>
        </w:rPr>
        <w:t xml:space="preserve">Under similar </w:t>
      </w:r>
      <w:r w:rsidR="00DE4F9E">
        <w:rPr>
          <w:rFonts w:ascii="Times New Roman" w:hAnsi="Times New Roman" w:cs="Times New Roman"/>
        </w:rPr>
        <w:t>control-based principle</w:t>
      </w:r>
      <w:r w:rsidR="0028450C">
        <w:rPr>
          <w:rFonts w:ascii="Times New Roman" w:hAnsi="Times New Roman" w:cs="Times New Roman"/>
        </w:rPr>
        <w:t>s, a general contractor</w:t>
      </w:r>
      <w:r w:rsidR="00267786">
        <w:rPr>
          <w:rFonts w:ascii="Times New Roman" w:hAnsi="Times New Roman" w:cs="Times New Roman"/>
        </w:rPr>
        <w:t>, a design professional,</w:t>
      </w:r>
      <w:r w:rsidR="0028450C">
        <w:rPr>
          <w:rFonts w:ascii="Times New Roman" w:hAnsi="Times New Roman" w:cs="Times New Roman"/>
        </w:rPr>
        <w:t xml:space="preserve"> or other </w:t>
      </w:r>
      <w:r w:rsidR="00267786">
        <w:rPr>
          <w:rFonts w:ascii="Times New Roman" w:hAnsi="Times New Roman" w:cs="Times New Roman"/>
        </w:rPr>
        <w:t>project participant</w:t>
      </w:r>
      <w:r w:rsidR="00DE4F9E">
        <w:rPr>
          <w:rFonts w:ascii="Times New Roman" w:hAnsi="Times New Roman" w:cs="Times New Roman"/>
        </w:rPr>
        <w:t xml:space="preserve"> may</w:t>
      </w:r>
      <w:r w:rsidR="00267786">
        <w:rPr>
          <w:rFonts w:ascii="Times New Roman" w:hAnsi="Times New Roman" w:cs="Times New Roman"/>
        </w:rPr>
        <w:t xml:space="preserve"> incur tort liability </w:t>
      </w:r>
      <w:r w:rsidR="00336F19">
        <w:rPr>
          <w:rFonts w:ascii="Times New Roman" w:hAnsi="Times New Roman" w:cs="Times New Roman"/>
        </w:rPr>
        <w:t>to workers employed by others.</w:t>
      </w:r>
      <w:r w:rsidR="00DE4F9E">
        <w:rPr>
          <w:rFonts w:ascii="Times New Roman" w:hAnsi="Times New Roman" w:cs="Times New Roman"/>
        </w:rPr>
        <w:t xml:space="preserve"> </w:t>
      </w:r>
    </w:p>
    <w:p w14:paraId="5A2DA5AF" w14:textId="3350718C" w:rsidR="005810D5" w:rsidRPr="00F1651C" w:rsidRDefault="005810D5" w:rsidP="00BE68D5">
      <w:pPr>
        <w:rPr>
          <w:rFonts w:ascii="Times New Roman" w:hAnsi="Times New Roman" w:cs="Times New Roman"/>
        </w:rPr>
      </w:pPr>
      <w:r>
        <w:rPr>
          <w:rFonts w:ascii="Times New Roman" w:hAnsi="Times New Roman" w:cs="Times New Roman"/>
        </w:rPr>
        <w:tab/>
        <w:t xml:space="preserve">Section 13.04 </w:t>
      </w:r>
      <w:r w:rsidR="009E2AD0">
        <w:rPr>
          <w:rFonts w:ascii="Times New Roman" w:hAnsi="Times New Roman" w:cs="Times New Roman"/>
        </w:rPr>
        <w:t xml:space="preserve">of the Forum Textbook Safety Chapter </w:t>
      </w:r>
      <w:r>
        <w:rPr>
          <w:rFonts w:ascii="Times New Roman" w:hAnsi="Times New Roman" w:cs="Times New Roman"/>
        </w:rPr>
        <w:t>address</w:t>
      </w:r>
      <w:r w:rsidR="00EF5430">
        <w:rPr>
          <w:rFonts w:ascii="Times New Roman" w:hAnsi="Times New Roman" w:cs="Times New Roman"/>
        </w:rPr>
        <w:t xml:space="preserve">es </w:t>
      </w:r>
      <w:r w:rsidR="001A2172">
        <w:rPr>
          <w:rFonts w:ascii="Times New Roman" w:hAnsi="Times New Roman" w:cs="Times New Roman"/>
        </w:rPr>
        <w:t xml:space="preserve">insurance, </w:t>
      </w:r>
      <w:r w:rsidR="007351C4">
        <w:rPr>
          <w:rFonts w:ascii="Times New Roman" w:hAnsi="Times New Roman" w:cs="Times New Roman"/>
        </w:rPr>
        <w:t>indemnification, contribution</w:t>
      </w:r>
      <w:r w:rsidR="001A2172">
        <w:rPr>
          <w:rFonts w:ascii="Times New Roman" w:hAnsi="Times New Roman" w:cs="Times New Roman"/>
        </w:rPr>
        <w:t>, and other</w:t>
      </w:r>
      <w:r w:rsidR="004B0FD0">
        <w:rPr>
          <w:rFonts w:ascii="Times New Roman" w:hAnsi="Times New Roman" w:cs="Times New Roman"/>
        </w:rPr>
        <w:t xml:space="preserve"> means of allocating</w:t>
      </w:r>
      <w:r>
        <w:rPr>
          <w:rFonts w:ascii="Times New Roman" w:hAnsi="Times New Roman" w:cs="Times New Roman"/>
        </w:rPr>
        <w:t xml:space="preserve"> </w:t>
      </w:r>
      <w:r w:rsidR="00880D3A">
        <w:rPr>
          <w:rFonts w:ascii="Times New Roman" w:hAnsi="Times New Roman" w:cs="Times New Roman"/>
        </w:rPr>
        <w:t xml:space="preserve">safety-related </w:t>
      </w:r>
      <w:r>
        <w:rPr>
          <w:rFonts w:ascii="Times New Roman" w:hAnsi="Times New Roman" w:cs="Times New Roman"/>
        </w:rPr>
        <w:t>risk</w:t>
      </w:r>
      <w:r w:rsidR="00880D3A">
        <w:rPr>
          <w:rFonts w:ascii="Times New Roman" w:hAnsi="Times New Roman" w:cs="Times New Roman"/>
        </w:rPr>
        <w:t>s in the construction industry.</w:t>
      </w:r>
      <w:r w:rsidR="009C0C24">
        <w:rPr>
          <w:rFonts w:ascii="Times New Roman" w:hAnsi="Times New Roman" w:cs="Times New Roman"/>
        </w:rPr>
        <w:t xml:space="preserve"> These matters,</w:t>
      </w:r>
      <w:r w:rsidR="00581DDA">
        <w:rPr>
          <w:rFonts w:ascii="Times New Roman" w:hAnsi="Times New Roman" w:cs="Times New Roman"/>
        </w:rPr>
        <w:t xml:space="preserve"> </w:t>
      </w:r>
      <w:r w:rsidR="00CA1AB9">
        <w:rPr>
          <w:rFonts w:ascii="Times New Roman" w:hAnsi="Times New Roman" w:cs="Times New Roman"/>
        </w:rPr>
        <w:t xml:space="preserve">important as they are </w:t>
      </w:r>
      <w:r w:rsidR="00581DDA">
        <w:rPr>
          <w:rFonts w:ascii="Times New Roman" w:hAnsi="Times New Roman" w:cs="Times New Roman"/>
        </w:rPr>
        <w:t>for</w:t>
      </w:r>
      <w:r w:rsidR="007142E3">
        <w:rPr>
          <w:rFonts w:ascii="Times New Roman" w:hAnsi="Times New Roman" w:cs="Times New Roman"/>
        </w:rPr>
        <w:t xml:space="preserve"> risk management</w:t>
      </w:r>
      <w:r w:rsidR="004B18F3">
        <w:rPr>
          <w:rFonts w:ascii="Times New Roman" w:hAnsi="Times New Roman" w:cs="Times New Roman"/>
        </w:rPr>
        <w:t xml:space="preserve"> </w:t>
      </w:r>
      <w:r w:rsidR="00986389">
        <w:rPr>
          <w:rFonts w:ascii="Times New Roman" w:hAnsi="Times New Roman" w:cs="Times New Roman"/>
        </w:rPr>
        <w:t xml:space="preserve">purposes, </w:t>
      </w:r>
      <w:r w:rsidR="008342A9">
        <w:rPr>
          <w:rFonts w:ascii="Times New Roman" w:hAnsi="Times New Roman" w:cs="Times New Roman"/>
        </w:rPr>
        <w:t xml:space="preserve">primarily involve the application of general </w:t>
      </w:r>
      <w:r w:rsidR="00593ADA">
        <w:rPr>
          <w:rFonts w:ascii="Times New Roman" w:hAnsi="Times New Roman" w:cs="Times New Roman"/>
        </w:rPr>
        <w:t>concepts</w:t>
      </w:r>
      <w:r w:rsidR="008342A9">
        <w:rPr>
          <w:rFonts w:ascii="Times New Roman" w:hAnsi="Times New Roman" w:cs="Times New Roman"/>
        </w:rPr>
        <w:t xml:space="preserve"> of insurance</w:t>
      </w:r>
      <w:r w:rsidR="00EF573D">
        <w:rPr>
          <w:rFonts w:ascii="Times New Roman" w:hAnsi="Times New Roman" w:cs="Times New Roman"/>
        </w:rPr>
        <w:t xml:space="preserve"> law, torts, and contracts</w:t>
      </w:r>
      <w:r w:rsidR="00083F4F">
        <w:rPr>
          <w:rFonts w:ascii="Times New Roman" w:hAnsi="Times New Roman" w:cs="Times New Roman"/>
        </w:rPr>
        <w:t xml:space="preserve"> </w:t>
      </w:r>
      <w:r w:rsidR="002D4B4E">
        <w:rPr>
          <w:rFonts w:ascii="Times New Roman" w:hAnsi="Times New Roman" w:cs="Times New Roman"/>
        </w:rPr>
        <w:t>in a construction industry context</w:t>
      </w:r>
      <w:r w:rsidR="00A77092">
        <w:rPr>
          <w:rFonts w:ascii="Times New Roman" w:hAnsi="Times New Roman" w:cs="Times New Roman"/>
        </w:rPr>
        <w:t xml:space="preserve"> rather than</w:t>
      </w:r>
      <w:r w:rsidR="005D0F35">
        <w:rPr>
          <w:rFonts w:ascii="Times New Roman" w:hAnsi="Times New Roman" w:cs="Times New Roman"/>
        </w:rPr>
        <w:t xml:space="preserve"> the establishment of</w:t>
      </w:r>
      <w:r w:rsidR="00A77092">
        <w:rPr>
          <w:rFonts w:ascii="Times New Roman" w:hAnsi="Times New Roman" w:cs="Times New Roman"/>
        </w:rPr>
        <w:t xml:space="preserve"> </w:t>
      </w:r>
      <w:r w:rsidR="00593ADA">
        <w:rPr>
          <w:rFonts w:ascii="Times New Roman" w:hAnsi="Times New Roman" w:cs="Times New Roman"/>
        </w:rPr>
        <w:t>principles</w:t>
      </w:r>
      <w:r w:rsidR="00A77092">
        <w:rPr>
          <w:rFonts w:ascii="Times New Roman" w:hAnsi="Times New Roman" w:cs="Times New Roman"/>
        </w:rPr>
        <w:t xml:space="preserve"> unique to</w:t>
      </w:r>
      <w:r w:rsidR="00593ADA">
        <w:rPr>
          <w:rFonts w:ascii="Times New Roman" w:hAnsi="Times New Roman" w:cs="Times New Roman"/>
        </w:rPr>
        <w:t xml:space="preserve"> construction law.</w:t>
      </w:r>
    </w:p>
    <w:p w14:paraId="049C64AA" w14:textId="77777777" w:rsidR="00A3213D" w:rsidRDefault="002F2E33" w:rsidP="0033694D">
      <w:r>
        <w:rPr>
          <w:rFonts w:ascii="Times New Roman" w:hAnsi="Times New Roman" w:cs="Times New Roman"/>
          <w:i/>
          <w:iCs/>
        </w:rPr>
        <w:t>Suggested additional reading assignments</w:t>
      </w:r>
      <w:r w:rsidRPr="00146CED">
        <w:t xml:space="preserve"> </w:t>
      </w:r>
    </w:p>
    <w:p w14:paraId="375EB645" w14:textId="7F95BE70" w:rsidR="00CA0166" w:rsidRPr="00C36668" w:rsidRDefault="00CA0166" w:rsidP="00CA0166">
      <w:pPr>
        <w:rPr>
          <w:rFonts w:ascii="Times New Roman" w:hAnsi="Times New Roman" w:cs="Times New Roman"/>
        </w:rPr>
      </w:pPr>
      <w:r w:rsidRPr="00C36668">
        <w:rPr>
          <w:rFonts w:ascii="Times New Roman" w:hAnsi="Times New Roman" w:cs="Times New Roman"/>
        </w:rPr>
        <w:lastRenderedPageBreak/>
        <w:t xml:space="preserve">G. Edward Cassady, </w:t>
      </w:r>
      <w:r w:rsidRPr="00C36668">
        <w:rPr>
          <w:rFonts w:ascii="Times New Roman" w:hAnsi="Times New Roman" w:cs="Times New Roman"/>
          <w:i/>
          <w:iCs/>
        </w:rPr>
        <w:t xml:space="preserve">Construction Safety: A Litmus Test </w:t>
      </w:r>
      <w:r w:rsidR="001D482B">
        <w:rPr>
          <w:rFonts w:ascii="Times New Roman" w:hAnsi="Times New Roman" w:cs="Times New Roman"/>
          <w:i/>
          <w:iCs/>
        </w:rPr>
        <w:t>fo</w:t>
      </w:r>
      <w:r w:rsidRPr="00C36668">
        <w:rPr>
          <w:rFonts w:ascii="Times New Roman" w:hAnsi="Times New Roman" w:cs="Times New Roman"/>
          <w:i/>
          <w:iCs/>
        </w:rPr>
        <w:t>r Contractor Management Quality</w:t>
      </w:r>
      <w:r w:rsidRPr="00C36668">
        <w:rPr>
          <w:rFonts w:ascii="Times New Roman" w:hAnsi="Times New Roman" w:cs="Times New Roman"/>
        </w:rPr>
        <w:t>, 13 J</w:t>
      </w:r>
      <w:r w:rsidR="0055144B">
        <w:rPr>
          <w:rFonts w:ascii="Times New Roman" w:hAnsi="Times New Roman" w:cs="Times New Roman"/>
        </w:rPr>
        <w:t>.</w:t>
      </w:r>
      <w:r w:rsidRPr="00C36668">
        <w:rPr>
          <w:rFonts w:ascii="Times New Roman" w:hAnsi="Times New Roman" w:cs="Times New Roman"/>
        </w:rPr>
        <w:t xml:space="preserve"> Am</w:t>
      </w:r>
      <w:r w:rsidR="0055144B">
        <w:rPr>
          <w:rFonts w:ascii="Times New Roman" w:hAnsi="Times New Roman" w:cs="Times New Roman"/>
        </w:rPr>
        <w:t>.</w:t>
      </w:r>
      <w:r w:rsidRPr="00C36668">
        <w:rPr>
          <w:rFonts w:ascii="Times New Roman" w:hAnsi="Times New Roman" w:cs="Times New Roman"/>
        </w:rPr>
        <w:t xml:space="preserve"> Coll</w:t>
      </w:r>
      <w:r w:rsidR="0055144B">
        <w:rPr>
          <w:rFonts w:ascii="Times New Roman" w:hAnsi="Times New Roman" w:cs="Times New Roman"/>
        </w:rPr>
        <w:t>.</w:t>
      </w:r>
      <w:r w:rsidRPr="00C36668">
        <w:rPr>
          <w:rFonts w:ascii="Times New Roman" w:hAnsi="Times New Roman" w:cs="Times New Roman"/>
        </w:rPr>
        <w:t xml:space="preserve"> Constr</w:t>
      </w:r>
      <w:r w:rsidR="0055144B">
        <w:rPr>
          <w:rFonts w:ascii="Times New Roman" w:hAnsi="Times New Roman" w:cs="Times New Roman"/>
        </w:rPr>
        <w:t>.</w:t>
      </w:r>
      <w:r w:rsidRPr="00C36668">
        <w:rPr>
          <w:rFonts w:ascii="Times New Roman" w:hAnsi="Times New Roman" w:cs="Times New Roman"/>
        </w:rPr>
        <w:t xml:space="preserve"> Laws 3 (Winter 2019)</w:t>
      </w:r>
      <w:r w:rsidR="00B47B6E" w:rsidRPr="00C36668">
        <w:rPr>
          <w:rFonts w:ascii="Times New Roman" w:hAnsi="Times New Roman" w:cs="Times New Roman"/>
        </w:rPr>
        <w:t>.</w:t>
      </w:r>
    </w:p>
    <w:p w14:paraId="4700E4E9" w14:textId="79192068" w:rsidR="00B47B6E" w:rsidRPr="00C36668" w:rsidRDefault="00C36668" w:rsidP="00CA0166">
      <w:pPr>
        <w:rPr>
          <w:rFonts w:ascii="Times New Roman" w:hAnsi="Times New Roman" w:cs="Times New Roman"/>
        </w:rPr>
      </w:pPr>
      <w:r w:rsidRPr="00C36668">
        <w:rPr>
          <w:rFonts w:ascii="Times New Roman" w:hAnsi="Times New Roman" w:cs="Times New Roman"/>
        </w:rPr>
        <w:t>Phillip B. Russell, Dee Anna D. Hays,</w:t>
      </w:r>
      <w:r w:rsidR="00B26777">
        <w:rPr>
          <w:rFonts w:ascii="Times New Roman" w:hAnsi="Times New Roman" w:cs="Times New Roman"/>
        </w:rPr>
        <w:t xml:space="preserve"> &amp;</w:t>
      </w:r>
      <w:r w:rsidRPr="00C36668">
        <w:rPr>
          <w:rFonts w:ascii="Times New Roman" w:hAnsi="Times New Roman" w:cs="Times New Roman"/>
        </w:rPr>
        <w:t xml:space="preserve"> Shontell Powell, </w:t>
      </w:r>
      <w:r w:rsidR="001B26A3">
        <w:rPr>
          <w:rFonts w:ascii="Times New Roman" w:hAnsi="Times New Roman" w:cs="Times New Roman"/>
          <w:i/>
          <w:iCs/>
        </w:rPr>
        <w:t>a</w:t>
      </w:r>
      <w:r w:rsidRPr="00B26777">
        <w:rPr>
          <w:rFonts w:ascii="Times New Roman" w:hAnsi="Times New Roman" w:cs="Times New Roman"/>
          <w:i/>
          <w:iCs/>
        </w:rPr>
        <w:t xml:space="preserve">n </w:t>
      </w:r>
      <w:r w:rsidR="001B26A3" w:rsidRPr="00B26777">
        <w:rPr>
          <w:rFonts w:ascii="Times New Roman" w:hAnsi="Times New Roman" w:cs="Times New Roman"/>
          <w:i/>
          <w:iCs/>
        </w:rPr>
        <w:t>Overview</w:t>
      </w:r>
      <w:r w:rsidRPr="00B26777">
        <w:rPr>
          <w:rFonts w:ascii="Times New Roman" w:hAnsi="Times New Roman" w:cs="Times New Roman"/>
          <w:i/>
          <w:iCs/>
        </w:rPr>
        <w:t xml:space="preserve"> of OSHA Investigations and Citations</w:t>
      </w:r>
      <w:r w:rsidRPr="00C36668">
        <w:rPr>
          <w:rFonts w:ascii="Times New Roman" w:hAnsi="Times New Roman" w:cs="Times New Roman"/>
        </w:rPr>
        <w:t xml:space="preserve">, </w:t>
      </w:r>
      <w:r w:rsidR="00576DA0">
        <w:rPr>
          <w:rFonts w:ascii="Times New Roman" w:hAnsi="Times New Roman" w:cs="Times New Roman"/>
        </w:rPr>
        <w:t>37</w:t>
      </w:r>
      <w:r w:rsidR="00B26777">
        <w:rPr>
          <w:rFonts w:ascii="Times New Roman" w:hAnsi="Times New Roman" w:cs="Times New Roman"/>
        </w:rPr>
        <w:t xml:space="preserve"> </w:t>
      </w:r>
      <w:r w:rsidRPr="00C36668">
        <w:rPr>
          <w:rFonts w:ascii="Times New Roman" w:hAnsi="Times New Roman" w:cs="Times New Roman"/>
        </w:rPr>
        <w:t>Constr. Law.</w:t>
      </w:r>
      <w:r w:rsidR="00B26777">
        <w:rPr>
          <w:rFonts w:ascii="Times New Roman" w:hAnsi="Times New Roman" w:cs="Times New Roman"/>
        </w:rPr>
        <w:t xml:space="preserve"> 15</w:t>
      </w:r>
      <w:r w:rsidRPr="00C36668">
        <w:rPr>
          <w:rFonts w:ascii="Times New Roman" w:hAnsi="Times New Roman" w:cs="Times New Roman"/>
        </w:rPr>
        <w:t xml:space="preserve"> </w:t>
      </w:r>
      <w:r w:rsidR="00B26777">
        <w:rPr>
          <w:rFonts w:ascii="Times New Roman" w:hAnsi="Times New Roman" w:cs="Times New Roman"/>
        </w:rPr>
        <w:t>(</w:t>
      </w:r>
      <w:r w:rsidRPr="00C36668">
        <w:rPr>
          <w:rFonts w:ascii="Times New Roman" w:hAnsi="Times New Roman" w:cs="Times New Roman"/>
        </w:rPr>
        <w:t>Winter 2017</w:t>
      </w:r>
      <w:r w:rsidR="00B26777">
        <w:rPr>
          <w:rFonts w:ascii="Times New Roman" w:hAnsi="Times New Roman" w:cs="Times New Roman"/>
        </w:rPr>
        <w:t>).</w:t>
      </w:r>
    </w:p>
    <w:p w14:paraId="1EBBE624" w14:textId="77777777" w:rsidR="00686F86" w:rsidRPr="00007A09" w:rsidRDefault="00686F86">
      <w:pPr>
        <w:rPr>
          <w:rFonts w:ascii="Times New Roman" w:hAnsi="Times New Roman" w:cs="Times New Roman"/>
        </w:rPr>
      </w:pPr>
    </w:p>
    <w:sectPr w:rsidR="00686F86" w:rsidRPr="00007A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4904" w14:textId="77777777" w:rsidR="007E181E" w:rsidRDefault="007E181E" w:rsidP="00D54FB4">
      <w:pPr>
        <w:spacing w:after="0" w:line="240" w:lineRule="auto"/>
      </w:pPr>
      <w:r>
        <w:separator/>
      </w:r>
    </w:p>
  </w:endnote>
  <w:endnote w:type="continuationSeparator" w:id="0">
    <w:p w14:paraId="7D60ACB8" w14:textId="77777777" w:rsidR="007E181E" w:rsidRDefault="007E181E" w:rsidP="00D5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39939"/>
      <w:docPartObj>
        <w:docPartGallery w:val="Page Numbers (Bottom of Page)"/>
        <w:docPartUnique/>
      </w:docPartObj>
    </w:sdtPr>
    <w:sdtEndPr>
      <w:rPr>
        <w:noProof/>
      </w:rPr>
    </w:sdtEndPr>
    <w:sdtContent>
      <w:p w14:paraId="3FC7A2E8" w14:textId="7FDAABD5" w:rsidR="002C0A3A" w:rsidRDefault="002C0A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EC668" w14:textId="77777777" w:rsidR="002C0A3A" w:rsidRDefault="002C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A60A" w14:textId="77777777" w:rsidR="007E181E" w:rsidRDefault="007E181E" w:rsidP="00D54FB4">
      <w:pPr>
        <w:spacing w:after="0" w:line="240" w:lineRule="auto"/>
      </w:pPr>
      <w:r>
        <w:separator/>
      </w:r>
    </w:p>
  </w:footnote>
  <w:footnote w:type="continuationSeparator" w:id="0">
    <w:p w14:paraId="5F4EDFFA" w14:textId="77777777" w:rsidR="007E181E" w:rsidRDefault="007E181E" w:rsidP="00D5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EDF8" w14:textId="5E2855BD" w:rsidR="00D54FB4" w:rsidRDefault="00D54FB4">
    <w:pPr>
      <w:pStyle w:val="Header"/>
    </w:pPr>
    <w:r>
      <w:t xml:space="preserve">Work-in-progress © Carl J. Circo </w:t>
    </w:r>
    <w:r w:rsidR="00570769">
      <w:t>May</w:t>
    </w:r>
    <w:r>
      <w:t xml:space="preserve"> 2026</w:t>
    </w:r>
  </w:p>
  <w:p w14:paraId="138D7692" w14:textId="77777777" w:rsidR="00D54FB4" w:rsidRDefault="00D54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2D10"/>
    <w:multiLevelType w:val="hybridMultilevel"/>
    <w:tmpl w:val="FA1C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75975"/>
    <w:multiLevelType w:val="hybridMultilevel"/>
    <w:tmpl w:val="4E72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509559">
    <w:abstractNumId w:val="1"/>
  </w:num>
  <w:num w:numId="2" w16cid:durableId="7316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B4"/>
    <w:rsid w:val="00001501"/>
    <w:rsid w:val="000016A9"/>
    <w:rsid w:val="00007A09"/>
    <w:rsid w:val="000121E5"/>
    <w:rsid w:val="0001241F"/>
    <w:rsid w:val="00013ED5"/>
    <w:rsid w:val="000149AD"/>
    <w:rsid w:val="00015FCF"/>
    <w:rsid w:val="0002225F"/>
    <w:rsid w:val="00023BF7"/>
    <w:rsid w:val="0002559E"/>
    <w:rsid w:val="00030A48"/>
    <w:rsid w:val="0003488C"/>
    <w:rsid w:val="00051812"/>
    <w:rsid w:val="000725E3"/>
    <w:rsid w:val="00073ADA"/>
    <w:rsid w:val="00075941"/>
    <w:rsid w:val="00081C39"/>
    <w:rsid w:val="00082C7D"/>
    <w:rsid w:val="00083F4F"/>
    <w:rsid w:val="000847B4"/>
    <w:rsid w:val="00093859"/>
    <w:rsid w:val="000A6BAF"/>
    <w:rsid w:val="000B2D0E"/>
    <w:rsid w:val="000B562C"/>
    <w:rsid w:val="000B667A"/>
    <w:rsid w:val="000B7A7B"/>
    <w:rsid w:val="000C001D"/>
    <w:rsid w:val="000C1A5E"/>
    <w:rsid w:val="000C21A3"/>
    <w:rsid w:val="000C5B48"/>
    <w:rsid w:val="000F2A53"/>
    <w:rsid w:val="000F4E69"/>
    <w:rsid w:val="00120E68"/>
    <w:rsid w:val="001227B4"/>
    <w:rsid w:val="00124E62"/>
    <w:rsid w:val="0014085F"/>
    <w:rsid w:val="00146B3D"/>
    <w:rsid w:val="00151152"/>
    <w:rsid w:val="00151BAA"/>
    <w:rsid w:val="00154315"/>
    <w:rsid w:val="001600E1"/>
    <w:rsid w:val="001622D3"/>
    <w:rsid w:val="001636AC"/>
    <w:rsid w:val="00173943"/>
    <w:rsid w:val="00193343"/>
    <w:rsid w:val="00193D43"/>
    <w:rsid w:val="00196290"/>
    <w:rsid w:val="001A1623"/>
    <w:rsid w:val="001A1BF5"/>
    <w:rsid w:val="001A2172"/>
    <w:rsid w:val="001A3168"/>
    <w:rsid w:val="001A35E3"/>
    <w:rsid w:val="001A3876"/>
    <w:rsid w:val="001A5BCA"/>
    <w:rsid w:val="001B26A3"/>
    <w:rsid w:val="001B6B13"/>
    <w:rsid w:val="001C16E3"/>
    <w:rsid w:val="001C74C4"/>
    <w:rsid w:val="001D482B"/>
    <w:rsid w:val="001D7A80"/>
    <w:rsid w:val="001E0B95"/>
    <w:rsid w:val="002015F4"/>
    <w:rsid w:val="002152DC"/>
    <w:rsid w:val="00221CE6"/>
    <w:rsid w:val="00225034"/>
    <w:rsid w:val="0022598B"/>
    <w:rsid w:val="00234FA0"/>
    <w:rsid w:val="0024769B"/>
    <w:rsid w:val="00257DB4"/>
    <w:rsid w:val="00260F8E"/>
    <w:rsid w:val="0026553A"/>
    <w:rsid w:val="00267786"/>
    <w:rsid w:val="002701C7"/>
    <w:rsid w:val="0027132B"/>
    <w:rsid w:val="00275A78"/>
    <w:rsid w:val="002800F5"/>
    <w:rsid w:val="0028450C"/>
    <w:rsid w:val="0029042E"/>
    <w:rsid w:val="0029783C"/>
    <w:rsid w:val="002A1C50"/>
    <w:rsid w:val="002A6102"/>
    <w:rsid w:val="002B184C"/>
    <w:rsid w:val="002C0A3A"/>
    <w:rsid w:val="002D4B4E"/>
    <w:rsid w:val="002D4D77"/>
    <w:rsid w:val="002D6194"/>
    <w:rsid w:val="002D62DB"/>
    <w:rsid w:val="002E13EF"/>
    <w:rsid w:val="002F018A"/>
    <w:rsid w:val="002F2E33"/>
    <w:rsid w:val="002F548F"/>
    <w:rsid w:val="0031547D"/>
    <w:rsid w:val="0032321E"/>
    <w:rsid w:val="0032322D"/>
    <w:rsid w:val="00323793"/>
    <w:rsid w:val="00327278"/>
    <w:rsid w:val="00327A66"/>
    <w:rsid w:val="0033694D"/>
    <w:rsid w:val="00336F19"/>
    <w:rsid w:val="00337F30"/>
    <w:rsid w:val="003434AC"/>
    <w:rsid w:val="00346588"/>
    <w:rsid w:val="003552A3"/>
    <w:rsid w:val="00355AF5"/>
    <w:rsid w:val="00356435"/>
    <w:rsid w:val="003564D6"/>
    <w:rsid w:val="00356D70"/>
    <w:rsid w:val="00360E64"/>
    <w:rsid w:val="0036193E"/>
    <w:rsid w:val="00365331"/>
    <w:rsid w:val="003700D7"/>
    <w:rsid w:val="003709CC"/>
    <w:rsid w:val="003719C2"/>
    <w:rsid w:val="00375053"/>
    <w:rsid w:val="003756DB"/>
    <w:rsid w:val="00375F4D"/>
    <w:rsid w:val="00384303"/>
    <w:rsid w:val="00385D9D"/>
    <w:rsid w:val="00391151"/>
    <w:rsid w:val="003A0E32"/>
    <w:rsid w:val="003A6BE4"/>
    <w:rsid w:val="003B50EB"/>
    <w:rsid w:val="003C1C46"/>
    <w:rsid w:val="003C6F64"/>
    <w:rsid w:val="003D7F10"/>
    <w:rsid w:val="003E1973"/>
    <w:rsid w:val="003E50C9"/>
    <w:rsid w:val="003F6631"/>
    <w:rsid w:val="003F7C2A"/>
    <w:rsid w:val="00400BE2"/>
    <w:rsid w:val="00405CBF"/>
    <w:rsid w:val="00410943"/>
    <w:rsid w:val="00410C2D"/>
    <w:rsid w:val="00413EE2"/>
    <w:rsid w:val="00414E1A"/>
    <w:rsid w:val="0042086A"/>
    <w:rsid w:val="00433882"/>
    <w:rsid w:val="00437E04"/>
    <w:rsid w:val="00447AE7"/>
    <w:rsid w:val="00452B37"/>
    <w:rsid w:val="0045732B"/>
    <w:rsid w:val="00457F38"/>
    <w:rsid w:val="00461359"/>
    <w:rsid w:val="00461EDE"/>
    <w:rsid w:val="00465F4B"/>
    <w:rsid w:val="00482B34"/>
    <w:rsid w:val="0049039A"/>
    <w:rsid w:val="00491925"/>
    <w:rsid w:val="004A0FA3"/>
    <w:rsid w:val="004B0FD0"/>
    <w:rsid w:val="004B18F3"/>
    <w:rsid w:val="004B1D9B"/>
    <w:rsid w:val="004B3490"/>
    <w:rsid w:val="004B3710"/>
    <w:rsid w:val="004C417A"/>
    <w:rsid w:val="004C5161"/>
    <w:rsid w:val="004C69A9"/>
    <w:rsid w:val="004C6FC7"/>
    <w:rsid w:val="004D5590"/>
    <w:rsid w:val="004E08EA"/>
    <w:rsid w:val="004E57F7"/>
    <w:rsid w:val="004E6BF0"/>
    <w:rsid w:val="00511BDE"/>
    <w:rsid w:val="00516C7F"/>
    <w:rsid w:val="00520DD7"/>
    <w:rsid w:val="005233E3"/>
    <w:rsid w:val="0052549D"/>
    <w:rsid w:val="00526FB9"/>
    <w:rsid w:val="0053084F"/>
    <w:rsid w:val="00535FB0"/>
    <w:rsid w:val="00536CE6"/>
    <w:rsid w:val="005407A4"/>
    <w:rsid w:val="005431AB"/>
    <w:rsid w:val="00544947"/>
    <w:rsid w:val="0055144B"/>
    <w:rsid w:val="005538BA"/>
    <w:rsid w:val="00553A94"/>
    <w:rsid w:val="005542BC"/>
    <w:rsid w:val="0055657B"/>
    <w:rsid w:val="00570769"/>
    <w:rsid w:val="005729EC"/>
    <w:rsid w:val="00576DA0"/>
    <w:rsid w:val="005810D5"/>
    <w:rsid w:val="00581DDA"/>
    <w:rsid w:val="0058274D"/>
    <w:rsid w:val="00585EEC"/>
    <w:rsid w:val="00587057"/>
    <w:rsid w:val="00593ADA"/>
    <w:rsid w:val="005946D5"/>
    <w:rsid w:val="005A3EE7"/>
    <w:rsid w:val="005A76B9"/>
    <w:rsid w:val="005A7915"/>
    <w:rsid w:val="005B10F7"/>
    <w:rsid w:val="005B1DE0"/>
    <w:rsid w:val="005B7CEC"/>
    <w:rsid w:val="005C313D"/>
    <w:rsid w:val="005C49AB"/>
    <w:rsid w:val="005C7C79"/>
    <w:rsid w:val="005D0F35"/>
    <w:rsid w:val="005D29A6"/>
    <w:rsid w:val="005D4459"/>
    <w:rsid w:val="005F5FB8"/>
    <w:rsid w:val="00601A52"/>
    <w:rsid w:val="0060378B"/>
    <w:rsid w:val="006047F1"/>
    <w:rsid w:val="006114A3"/>
    <w:rsid w:val="006116E7"/>
    <w:rsid w:val="0061217F"/>
    <w:rsid w:val="00613AE3"/>
    <w:rsid w:val="006142FE"/>
    <w:rsid w:val="006162CE"/>
    <w:rsid w:val="00621D2B"/>
    <w:rsid w:val="00622261"/>
    <w:rsid w:val="00633BD8"/>
    <w:rsid w:val="006371E1"/>
    <w:rsid w:val="00647372"/>
    <w:rsid w:val="00652067"/>
    <w:rsid w:val="00654A45"/>
    <w:rsid w:val="00664FE7"/>
    <w:rsid w:val="00665C2F"/>
    <w:rsid w:val="00667154"/>
    <w:rsid w:val="00684499"/>
    <w:rsid w:val="006845CF"/>
    <w:rsid w:val="00686F86"/>
    <w:rsid w:val="00687197"/>
    <w:rsid w:val="0069090C"/>
    <w:rsid w:val="00691056"/>
    <w:rsid w:val="006968C2"/>
    <w:rsid w:val="00696AD9"/>
    <w:rsid w:val="006A39A6"/>
    <w:rsid w:val="006A3B29"/>
    <w:rsid w:val="006A72F8"/>
    <w:rsid w:val="006B30CF"/>
    <w:rsid w:val="006B3DEA"/>
    <w:rsid w:val="006B6CC7"/>
    <w:rsid w:val="006C2730"/>
    <w:rsid w:val="006C6B76"/>
    <w:rsid w:val="006C7DB8"/>
    <w:rsid w:val="006D1A39"/>
    <w:rsid w:val="006E2F34"/>
    <w:rsid w:val="006E31E8"/>
    <w:rsid w:val="006E337A"/>
    <w:rsid w:val="006E529B"/>
    <w:rsid w:val="006F6007"/>
    <w:rsid w:val="0070592A"/>
    <w:rsid w:val="0071247F"/>
    <w:rsid w:val="007142E3"/>
    <w:rsid w:val="00721D50"/>
    <w:rsid w:val="0073065D"/>
    <w:rsid w:val="00730A81"/>
    <w:rsid w:val="007351C4"/>
    <w:rsid w:val="00740FE6"/>
    <w:rsid w:val="0074326F"/>
    <w:rsid w:val="007470A3"/>
    <w:rsid w:val="00754EB4"/>
    <w:rsid w:val="007552AB"/>
    <w:rsid w:val="00755334"/>
    <w:rsid w:val="00755F04"/>
    <w:rsid w:val="00757549"/>
    <w:rsid w:val="00771057"/>
    <w:rsid w:val="00774918"/>
    <w:rsid w:val="007810A1"/>
    <w:rsid w:val="00784E99"/>
    <w:rsid w:val="00787938"/>
    <w:rsid w:val="0079141D"/>
    <w:rsid w:val="0079184D"/>
    <w:rsid w:val="00793258"/>
    <w:rsid w:val="00795579"/>
    <w:rsid w:val="007A1DE1"/>
    <w:rsid w:val="007A1FAA"/>
    <w:rsid w:val="007A440C"/>
    <w:rsid w:val="007B09FE"/>
    <w:rsid w:val="007B124E"/>
    <w:rsid w:val="007B242C"/>
    <w:rsid w:val="007B253C"/>
    <w:rsid w:val="007B4145"/>
    <w:rsid w:val="007C03ED"/>
    <w:rsid w:val="007C065A"/>
    <w:rsid w:val="007C16A8"/>
    <w:rsid w:val="007C66EF"/>
    <w:rsid w:val="007D1FF2"/>
    <w:rsid w:val="007D2A3E"/>
    <w:rsid w:val="007D4C4D"/>
    <w:rsid w:val="007D4CF4"/>
    <w:rsid w:val="007D64CC"/>
    <w:rsid w:val="007E1175"/>
    <w:rsid w:val="007E181E"/>
    <w:rsid w:val="007F40AA"/>
    <w:rsid w:val="00811979"/>
    <w:rsid w:val="0082091E"/>
    <w:rsid w:val="00827968"/>
    <w:rsid w:val="0083243C"/>
    <w:rsid w:val="008342A9"/>
    <w:rsid w:val="00841917"/>
    <w:rsid w:val="008446C5"/>
    <w:rsid w:val="008642BA"/>
    <w:rsid w:val="0088062A"/>
    <w:rsid w:val="00880D3A"/>
    <w:rsid w:val="00886E64"/>
    <w:rsid w:val="008A133A"/>
    <w:rsid w:val="008B1507"/>
    <w:rsid w:val="008B16BA"/>
    <w:rsid w:val="008B594B"/>
    <w:rsid w:val="008D042B"/>
    <w:rsid w:val="008E28B8"/>
    <w:rsid w:val="008E72B6"/>
    <w:rsid w:val="00903074"/>
    <w:rsid w:val="0091324F"/>
    <w:rsid w:val="009547E9"/>
    <w:rsid w:val="009560F0"/>
    <w:rsid w:val="009567EF"/>
    <w:rsid w:val="00964FDC"/>
    <w:rsid w:val="009774B0"/>
    <w:rsid w:val="00981BAC"/>
    <w:rsid w:val="00984FA6"/>
    <w:rsid w:val="00986389"/>
    <w:rsid w:val="00987B44"/>
    <w:rsid w:val="00996020"/>
    <w:rsid w:val="009A12C3"/>
    <w:rsid w:val="009B0BFF"/>
    <w:rsid w:val="009C0C24"/>
    <w:rsid w:val="009D579C"/>
    <w:rsid w:val="009E2AD0"/>
    <w:rsid w:val="009F0225"/>
    <w:rsid w:val="009F08B1"/>
    <w:rsid w:val="009F3D01"/>
    <w:rsid w:val="00A04D27"/>
    <w:rsid w:val="00A07D7C"/>
    <w:rsid w:val="00A21EB3"/>
    <w:rsid w:val="00A26448"/>
    <w:rsid w:val="00A308E7"/>
    <w:rsid w:val="00A3213D"/>
    <w:rsid w:val="00A32ABA"/>
    <w:rsid w:val="00A37E22"/>
    <w:rsid w:val="00A43F1D"/>
    <w:rsid w:val="00A50E69"/>
    <w:rsid w:val="00A5636E"/>
    <w:rsid w:val="00A6480C"/>
    <w:rsid w:val="00A649B3"/>
    <w:rsid w:val="00A65272"/>
    <w:rsid w:val="00A6654F"/>
    <w:rsid w:val="00A67318"/>
    <w:rsid w:val="00A748DE"/>
    <w:rsid w:val="00A77092"/>
    <w:rsid w:val="00A8554B"/>
    <w:rsid w:val="00A87720"/>
    <w:rsid w:val="00A91374"/>
    <w:rsid w:val="00A94DBB"/>
    <w:rsid w:val="00AB359C"/>
    <w:rsid w:val="00AB4724"/>
    <w:rsid w:val="00AB4FC2"/>
    <w:rsid w:val="00AC5A6B"/>
    <w:rsid w:val="00AC7100"/>
    <w:rsid w:val="00AD3FD6"/>
    <w:rsid w:val="00AE3BE5"/>
    <w:rsid w:val="00AF07BA"/>
    <w:rsid w:val="00AF68A0"/>
    <w:rsid w:val="00AF6B30"/>
    <w:rsid w:val="00B033D8"/>
    <w:rsid w:val="00B079A7"/>
    <w:rsid w:val="00B16126"/>
    <w:rsid w:val="00B1789E"/>
    <w:rsid w:val="00B26777"/>
    <w:rsid w:val="00B34FFB"/>
    <w:rsid w:val="00B41611"/>
    <w:rsid w:val="00B459D7"/>
    <w:rsid w:val="00B4649F"/>
    <w:rsid w:val="00B4661E"/>
    <w:rsid w:val="00B47B6E"/>
    <w:rsid w:val="00B5138C"/>
    <w:rsid w:val="00B515EA"/>
    <w:rsid w:val="00B71B37"/>
    <w:rsid w:val="00B72F3D"/>
    <w:rsid w:val="00B76EBC"/>
    <w:rsid w:val="00B77F20"/>
    <w:rsid w:val="00B8193D"/>
    <w:rsid w:val="00B82778"/>
    <w:rsid w:val="00B83E1E"/>
    <w:rsid w:val="00B86EDD"/>
    <w:rsid w:val="00B87345"/>
    <w:rsid w:val="00B8735B"/>
    <w:rsid w:val="00B908AC"/>
    <w:rsid w:val="00B957EA"/>
    <w:rsid w:val="00BA2B38"/>
    <w:rsid w:val="00BA3EB1"/>
    <w:rsid w:val="00BD0185"/>
    <w:rsid w:val="00BD13C2"/>
    <w:rsid w:val="00BD5FE3"/>
    <w:rsid w:val="00BE2BCB"/>
    <w:rsid w:val="00BE5BD9"/>
    <w:rsid w:val="00BE68D5"/>
    <w:rsid w:val="00BF2DEA"/>
    <w:rsid w:val="00BF3C93"/>
    <w:rsid w:val="00C0344E"/>
    <w:rsid w:val="00C10303"/>
    <w:rsid w:val="00C108B3"/>
    <w:rsid w:val="00C12A75"/>
    <w:rsid w:val="00C156C2"/>
    <w:rsid w:val="00C15D2F"/>
    <w:rsid w:val="00C22706"/>
    <w:rsid w:val="00C23816"/>
    <w:rsid w:val="00C2676C"/>
    <w:rsid w:val="00C271AF"/>
    <w:rsid w:val="00C3639E"/>
    <w:rsid w:val="00C36668"/>
    <w:rsid w:val="00C37D3C"/>
    <w:rsid w:val="00C46157"/>
    <w:rsid w:val="00C469CE"/>
    <w:rsid w:val="00C5147F"/>
    <w:rsid w:val="00C5280F"/>
    <w:rsid w:val="00C5574A"/>
    <w:rsid w:val="00C55CCA"/>
    <w:rsid w:val="00C63603"/>
    <w:rsid w:val="00C70714"/>
    <w:rsid w:val="00C72AEE"/>
    <w:rsid w:val="00C733C7"/>
    <w:rsid w:val="00C74AE6"/>
    <w:rsid w:val="00C77B5A"/>
    <w:rsid w:val="00C8081A"/>
    <w:rsid w:val="00C81BAE"/>
    <w:rsid w:val="00C835D7"/>
    <w:rsid w:val="00C92B2D"/>
    <w:rsid w:val="00C956B0"/>
    <w:rsid w:val="00CA0166"/>
    <w:rsid w:val="00CA1AB9"/>
    <w:rsid w:val="00CA7EA9"/>
    <w:rsid w:val="00CB0D69"/>
    <w:rsid w:val="00CB117F"/>
    <w:rsid w:val="00CB72B0"/>
    <w:rsid w:val="00CC3B96"/>
    <w:rsid w:val="00CC5735"/>
    <w:rsid w:val="00CC7A75"/>
    <w:rsid w:val="00CC7F65"/>
    <w:rsid w:val="00CD7493"/>
    <w:rsid w:val="00CE5A87"/>
    <w:rsid w:val="00CF0435"/>
    <w:rsid w:val="00CF18EB"/>
    <w:rsid w:val="00CF374D"/>
    <w:rsid w:val="00CF4D59"/>
    <w:rsid w:val="00CF595C"/>
    <w:rsid w:val="00D011BA"/>
    <w:rsid w:val="00D0420F"/>
    <w:rsid w:val="00D11BBB"/>
    <w:rsid w:val="00D16CF6"/>
    <w:rsid w:val="00D16DF7"/>
    <w:rsid w:val="00D2189D"/>
    <w:rsid w:val="00D2603C"/>
    <w:rsid w:val="00D271AD"/>
    <w:rsid w:val="00D27602"/>
    <w:rsid w:val="00D347D7"/>
    <w:rsid w:val="00D37C27"/>
    <w:rsid w:val="00D44AD4"/>
    <w:rsid w:val="00D46837"/>
    <w:rsid w:val="00D50091"/>
    <w:rsid w:val="00D54FB4"/>
    <w:rsid w:val="00D558D6"/>
    <w:rsid w:val="00D568CB"/>
    <w:rsid w:val="00D57C29"/>
    <w:rsid w:val="00D57D2F"/>
    <w:rsid w:val="00D60873"/>
    <w:rsid w:val="00D63386"/>
    <w:rsid w:val="00D664C9"/>
    <w:rsid w:val="00D76264"/>
    <w:rsid w:val="00D81F7E"/>
    <w:rsid w:val="00D93F3B"/>
    <w:rsid w:val="00D96CE4"/>
    <w:rsid w:val="00D9753A"/>
    <w:rsid w:val="00D97E68"/>
    <w:rsid w:val="00DA0365"/>
    <w:rsid w:val="00DA2F47"/>
    <w:rsid w:val="00DA727D"/>
    <w:rsid w:val="00DC4E01"/>
    <w:rsid w:val="00DD40D4"/>
    <w:rsid w:val="00DD4E12"/>
    <w:rsid w:val="00DE2C8A"/>
    <w:rsid w:val="00DE2DB6"/>
    <w:rsid w:val="00DE4B8E"/>
    <w:rsid w:val="00DE4F9E"/>
    <w:rsid w:val="00DF425E"/>
    <w:rsid w:val="00DF4F53"/>
    <w:rsid w:val="00E03339"/>
    <w:rsid w:val="00E10E2E"/>
    <w:rsid w:val="00E12CDF"/>
    <w:rsid w:val="00E2235A"/>
    <w:rsid w:val="00E239A1"/>
    <w:rsid w:val="00E32CEF"/>
    <w:rsid w:val="00E45A99"/>
    <w:rsid w:val="00E53CFB"/>
    <w:rsid w:val="00E63CD6"/>
    <w:rsid w:val="00E83E06"/>
    <w:rsid w:val="00E84148"/>
    <w:rsid w:val="00E85D20"/>
    <w:rsid w:val="00E95690"/>
    <w:rsid w:val="00EB2299"/>
    <w:rsid w:val="00EB3235"/>
    <w:rsid w:val="00EB6350"/>
    <w:rsid w:val="00EC14FD"/>
    <w:rsid w:val="00ED0FFB"/>
    <w:rsid w:val="00ED4E2C"/>
    <w:rsid w:val="00EF5430"/>
    <w:rsid w:val="00EF573D"/>
    <w:rsid w:val="00EF6996"/>
    <w:rsid w:val="00F03083"/>
    <w:rsid w:val="00F034AF"/>
    <w:rsid w:val="00F12830"/>
    <w:rsid w:val="00F13AF8"/>
    <w:rsid w:val="00F15B69"/>
    <w:rsid w:val="00F1651C"/>
    <w:rsid w:val="00F22B79"/>
    <w:rsid w:val="00F33328"/>
    <w:rsid w:val="00F34BCE"/>
    <w:rsid w:val="00F44897"/>
    <w:rsid w:val="00F51E1F"/>
    <w:rsid w:val="00F67FA9"/>
    <w:rsid w:val="00F74A55"/>
    <w:rsid w:val="00F81598"/>
    <w:rsid w:val="00F91B82"/>
    <w:rsid w:val="00F96457"/>
    <w:rsid w:val="00F9781D"/>
    <w:rsid w:val="00FA43E8"/>
    <w:rsid w:val="00FB0DE7"/>
    <w:rsid w:val="00FB16DB"/>
    <w:rsid w:val="00FB6551"/>
    <w:rsid w:val="00FB6EA2"/>
    <w:rsid w:val="00FC25BB"/>
    <w:rsid w:val="00FC2D7D"/>
    <w:rsid w:val="00FD7EE6"/>
    <w:rsid w:val="00FE0FFD"/>
    <w:rsid w:val="00FE1FDF"/>
    <w:rsid w:val="00FF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F562"/>
  <w15:chartTrackingRefBased/>
  <w15:docId w15:val="{50CC4943-61E7-44DA-869F-1505167A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FB4"/>
    <w:pPr>
      <w:spacing w:line="259" w:lineRule="auto"/>
    </w:pPr>
    <w:rPr>
      <w:rFonts w:asciiTheme="majorHAnsi" w:hAnsiTheme="majorHAnsi" w:cstheme="majorHAnsi"/>
    </w:rPr>
  </w:style>
  <w:style w:type="paragraph" w:styleId="Heading1">
    <w:name w:val="heading 1"/>
    <w:basedOn w:val="Normal"/>
    <w:next w:val="Normal"/>
    <w:link w:val="Heading1Char"/>
    <w:uiPriority w:val="9"/>
    <w:qFormat/>
    <w:rsid w:val="00D54FB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FB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FB4"/>
    <w:rPr>
      <w:rFonts w:eastAsiaTheme="majorEastAsia" w:cstheme="majorBidi"/>
      <w:color w:val="272727" w:themeColor="text1" w:themeTint="D8"/>
    </w:rPr>
  </w:style>
  <w:style w:type="paragraph" w:styleId="Title">
    <w:name w:val="Title"/>
    <w:basedOn w:val="Normal"/>
    <w:next w:val="Normal"/>
    <w:link w:val="TitleChar"/>
    <w:uiPriority w:val="10"/>
    <w:qFormat/>
    <w:rsid w:val="00D54FB4"/>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54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FB4"/>
    <w:pPr>
      <w:spacing w:before="160"/>
      <w:jc w:val="center"/>
    </w:pPr>
    <w:rPr>
      <w:i/>
      <w:iCs/>
      <w:color w:val="404040" w:themeColor="text1" w:themeTint="BF"/>
    </w:rPr>
  </w:style>
  <w:style w:type="character" w:customStyle="1" w:styleId="QuoteChar">
    <w:name w:val="Quote Char"/>
    <w:basedOn w:val="DefaultParagraphFont"/>
    <w:link w:val="Quote"/>
    <w:uiPriority w:val="29"/>
    <w:rsid w:val="00D54FB4"/>
    <w:rPr>
      <w:i/>
      <w:iCs/>
      <w:color w:val="404040" w:themeColor="text1" w:themeTint="BF"/>
    </w:rPr>
  </w:style>
  <w:style w:type="paragraph" w:styleId="ListParagraph">
    <w:name w:val="List Paragraph"/>
    <w:basedOn w:val="Normal"/>
    <w:uiPriority w:val="34"/>
    <w:qFormat/>
    <w:rsid w:val="00D54FB4"/>
    <w:pPr>
      <w:ind w:left="720"/>
      <w:contextualSpacing/>
    </w:pPr>
  </w:style>
  <w:style w:type="character" w:styleId="IntenseEmphasis">
    <w:name w:val="Intense Emphasis"/>
    <w:basedOn w:val="DefaultParagraphFont"/>
    <w:uiPriority w:val="21"/>
    <w:qFormat/>
    <w:rsid w:val="00D54FB4"/>
    <w:rPr>
      <w:i/>
      <w:iCs/>
      <w:color w:val="0F4761" w:themeColor="accent1" w:themeShade="BF"/>
    </w:rPr>
  </w:style>
  <w:style w:type="paragraph" w:styleId="IntenseQuote">
    <w:name w:val="Intense Quote"/>
    <w:basedOn w:val="Normal"/>
    <w:next w:val="Normal"/>
    <w:link w:val="IntenseQuoteChar"/>
    <w:uiPriority w:val="30"/>
    <w:qFormat/>
    <w:rsid w:val="00D54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FB4"/>
    <w:rPr>
      <w:i/>
      <w:iCs/>
      <w:color w:val="0F4761" w:themeColor="accent1" w:themeShade="BF"/>
    </w:rPr>
  </w:style>
  <w:style w:type="character" w:styleId="IntenseReference">
    <w:name w:val="Intense Reference"/>
    <w:basedOn w:val="DefaultParagraphFont"/>
    <w:uiPriority w:val="32"/>
    <w:qFormat/>
    <w:rsid w:val="00D54FB4"/>
    <w:rPr>
      <w:b/>
      <w:bCs/>
      <w:smallCaps/>
      <w:color w:val="0F4761" w:themeColor="accent1" w:themeShade="BF"/>
      <w:spacing w:val="5"/>
    </w:rPr>
  </w:style>
  <w:style w:type="paragraph" w:styleId="Header">
    <w:name w:val="header"/>
    <w:basedOn w:val="Normal"/>
    <w:link w:val="HeaderChar"/>
    <w:uiPriority w:val="99"/>
    <w:unhideWhenUsed/>
    <w:rsid w:val="00D5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FB4"/>
    <w:rPr>
      <w:rFonts w:asciiTheme="majorHAnsi" w:hAnsiTheme="majorHAnsi" w:cstheme="majorHAnsi"/>
    </w:rPr>
  </w:style>
  <w:style w:type="paragraph" w:styleId="Footer">
    <w:name w:val="footer"/>
    <w:basedOn w:val="Normal"/>
    <w:link w:val="FooterChar"/>
    <w:uiPriority w:val="99"/>
    <w:unhideWhenUsed/>
    <w:rsid w:val="00D5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FB4"/>
    <w:rPr>
      <w:rFonts w:asciiTheme="majorHAnsi" w:hAnsiTheme="majorHAnsi" w:cstheme="majorHAnsi"/>
    </w:rPr>
  </w:style>
  <w:style w:type="character" w:styleId="Hyperlink">
    <w:name w:val="Hyperlink"/>
    <w:basedOn w:val="DefaultParagraphFont"/>
    <w:uiPriority w:val="99"/>
    <w:unhideWhenUsed/>
    <w:rsid w:val="00073ADA"/>
    <w:rPr>
      <w:color w:val="467886" w:themeColor="hyperlink"/>
      <w:u w:val="single"/>
    </w:rPr>
  </w:style>
  <w:style w:type="character" w:styleId="UnresolvedMention">
    <w:name w:val="Unresolved Mention"/>
    <w:basedOn w:val="DefaultParagraphFont"/>
    <w:uiPriority w:val="99"/>
    <w:semiHidden/>
    <w:unhideWhenUsed/>
    <w:rsid w:val="006B6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E98F-9819-4F44-A29F-2148B32CA4DE}">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1225</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Circo</dc:creator>
  <cp:keywords/>
  <dc:description/>
  <cp:lastModifiedBy>carl circo</cp:lastModifiedBy>
  <cp:revision>281</cp:revision>
  <dcterms:created xsi:type="dcterms:W3CDTF">2026-05-30T13:03:00Z</dcterms:created>
  <dcterms:modified xsi:type="dcterms:W3CDTF">2026-05-31T13:22:00Z</dcterms:modified>
</cp:coreProperties>
</file>