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C5BD" w14:textId="77777777" w:rsidR="005409B2" w:rsidRDefault="005409B2" w:rsidP="005409B2">
      <w:pPr>
        <w:rPr>
          <w:b/>
          <w:bCs/>
        </w:rPr>
      </w:pPr>
      <w:r>
        <w:rPr>
          <w:b/>
          <w:bCs/>
        </w:rPr>
        <w:t>Construction and Design Law: Managing the Network of Interdependent Relationships</w:t>
      </w:r>
    </w:p>
    <w:p w14:paraId="4914BEFF" w14:textId="77777777" w:rsidR="005409B2" w:rsidRDefault="005409B2" w:rsidP="005409B2">
      <w:pPr>
        <w:jc w:val="center"/>
      </w:pPr>
      <w:r>
        <w:t>Carl J. Circo</w:t>
      </w:r>
    </w:p>
    <w:p w14:paraId="3BF02696" w14:textId="77777777" w:rsidR="005409B2" w:rsidRDefault="005409B2" w:rsidP="005409B2">
      <w:pPr>
        <w:jc w:val="center"/>
        <w:rPr>
          <w:b/>
          <w:bCs/>
        </w:rPr>
      </w:pPr>
      <w:r>
        <w:rPr>
          <w:b/>
          <w:bCs/>
        </w:rPr>
        <w:t>Part 3</w:t>
      </w:r>
    </w:p>
    <w:p w14:paraId="549D7312" w14:textId="4793B117" w:rsidR="005409B2" w:rsidRPr="00F2305A" w:rsidRDefault="005409B2" w:rsidP="005409B2">
      <w:pPr>
        <w:keepNext/>
        <w:jc w:val="center"/>
        <w:rPr>
          <w:b/>
        </w:rPr>
      </w:pPr>
      <w:r w:rsidRPr="00F2305A">
        <w:rPr>
          <w:b/>
          <w:bCs/>
        </w:rPr>
        <w:t xml:space="preserve">Lesson </w:t>
      </w:r>
      <w:r w:rsidR="006F5853">
        <w:rPr>
          <w:b/>
          <w:bCs/>
        </w:rPr>
        <w:t>24</w:t>
      </w:r>
      <w:r w:rsidRPr="00F2305A">
        <w:rPr>
          <w:b/>
          <w:bCs/>
        </w:rPr>
        <w:t xml:space="preserve">: </w:t>
      </w:r>
      <w:r w:rsidR="006F5853">
        <w:rPr>
          <w:b/>
        </w:rPr>
        <w:t>Construction Finance</w:t>
      </w:r>
    </w:p>
    <w:p w14:paraId="4F170454" w14:textId="0686C81A" w:rsidR="00AC6D09" w:rsidRDefault="005409B2" w:rsidP="00702EDE">
      <w:pPr>
        <w:rPr>
          <w:bCs/>
        </w:rPr>
      </w:pPr>
      <w:r>
        <w:rPr>
          <w:bCs/>
        </w:rPr>
        <w:tab/>
      </w:r>
      <w:r w:rsidR="00702EDE">
        <w:rPr>
          <w:bCs/>
        </w:rPr>
        <w:t xml:space="preserve">Financing construction projects involves a specialized </w:t>
      </w:r>
      <w:r w:rsidR="00E5152D">
        <w:rPr>
          <w:bCs/>
        </w:rPr>
        <w:t>application of secured lending practices</w:t>
      </w:r>
      <w:r w:rsidR="009C4A8E">
        <w:rPr>
          <w:bCs/>
        </w:rPr>
        <w:t xml:space="preserve"> and documentation</w:t>
      </w:r>
      <w:r w:rsidR="00E5152D">
        <w:rPr>
          <w:bCs/>
        </w:rPr>
        <w:t xml:space="preserve">. While </w:t>
      </w:r>
      <w:r w:rsidR="004A255D">
        <w:rPr>
          <w:bCs/>
        </w:rPr>
        <w:t xml:space="preserve">industry participants typically </w:t>
      </w:r>
      <w:r w:rsidR="004B7D66">
        <w:rPr>
          <w:bCs/>
        </w:rPr>
        <w:t xml:space="preserve">call on their financial advisors and </w:t>
      </w:r>
      <w:r w:rsidR="00D27ACE">
        <w:rPr>
          <w:bCs/>
        </w:rPr>
        <w:t xml:space="preserve">commercial lawyers to arrange, </w:t>
      </w:r>
      <w:r w:rsidR="000308F3">
        <w:rPr>
          <w:bCs/>
        </w:rPr>
        <w:t>negotiat</w:t>
      </w:r>
      <w:r w:rsidR="00D27ACE">
        <w:rPr>
          <w:bCs/>
        </w:rPr>
        <w:t>e</w:t>
      </w:r>
      <w:r w:rsidR="000308F3">
        <w:rPr>
          <w:bCs/>
        </w:rPr>
        <w:t>, and administ</w:t>
      </w:r>
      <w:r w:rsidR="00D27ACE">
        <w:rPr>
          <w:bCs/>
        </w:rPr>
        <w:t xml:space="preserve">er </w:t>
      </w:r>
      <w:r w:rsidR="004A255D">
        <w:rPr>
          <w:bCs/>
        </w:rPr>
        <w:t>financing</w:t>
      </w:r>
      <w:r w:rsidR="00EB1268">
        <w:rPr>
          <w:bCs/>
        </w:rPr>
        <w:t xml:space="preserve"> </w:t>
      </w:r>
      <w:r w:rsidR="00D27ACE">
        <w:rPr>
          <w:bCs/>
        </w:rPr>
        <w:t xml:space="preserve">for a project, construction lawyers and </w:t>
      </w:r>
      <w:r w:rsidR="006B39D9">
        <w:rPr>
          <w:bCs/>
        </w:rPr>
        <w:t xml:space="preserve">construction professionals should have a general understanding of the process and </w:t>
      </w:r>
      <w:r w:rsidR="00B04C0F">
        <w:rPr>
          <w:bCs/>
        </w:rPr>
        <w:t xml:space="preserve">the </w:t>
      </w:r>
      <w:r w:rsidR="006B39D9">
        <w:rPr>
          <w:bCs/>
        </w:rPr>
        <w:t xml:space="preserve">most common structures and practices. </w:t>
      </w:r>
    </w:p>
    <w:p w14:paraId="05515D67" w14:textId="4194EA9B" w:rsidR="005804B9" w:rsidRDefault="005804B9" w:rsidP="009C4A8E">
      <w:pPr>
        <w:tabs>
          <w:tab w:val="left" w:pos="720"/>
          <w:tab w:val="left" w:pos="1440"/>
          <w:tab w:val="left" w:pos="2160"/>
          <w:tab w:val="left" w:pos="2856"/>
        </w:tabs>
        <w:rPr>
          <w:bCs/>
        </w:rPr>
      </w:pPr>
      <w:r>
        <w:rPr>
          <w:bCs/>
        </w:rPr>
        <w:tab/>
      </w:r>
      <w:r w:rsidR="00FC5DA0">
        <w:rPr>
          <w:bCs/>
        </w:rPr>
        <w:t xml:space="preserve">From the </w:t>
      </w:r>
      <w:r w:rsidR="00E667A2">
        <w:rPr>
          <w:bCs/>
        </w:rPr>
        <w:t>lender’s</w:t>
      </w:r>
      <w:r w:rsidR="00FC5DA0">
        <w:rPr>
          <w:bCs/>
        </w:rPr>
        <w:t xml:space="preserve"> perspective, c</w:t>
      </w:r>
      <w:r w:rsidR="009C4A8E">
        <w:rPr>
          <w:bCs/>
        </w:rPr>
        <w:t xml:space="preserve">onstruction </w:t>
      </w:r>
      <w:r w:rsidR="00FC5DA0">
        <w:rPr>
          <w:bCs/>
        </w:rPr>
        <w:t xml:space="preserve">financing carries </w:t>
      </w:r>
      <w:r w:rsidR="00476D2A">
        <w:rPr>
          <w:bCs/>
        </w:rPr>
        <w:t>significant</w:t>
      </w:r>
      <w:r w:rsidR="00FC5DA0">
        <w:rPr>
          <w:bCs/>
        </w:rPr>
        <w:t xml:space="preserve"> risk</w:t>
      </w:r>
      <w:r w:rsidR="00476D2A">
        <w:rPr>
          <w:bCs/>
        </w:rPr>
        <w:t>s</w:t>
      </w:r>
      <w:r w:rsidR="00B24C58">
        <w:rPr>
          <w:bCs/>
        </w:rPr>
        <w:t xml:space="preserve"> </w:t>
      </w:r>
      <w:r w:rsidR="009A3068">
        <w:rPr>
          <w:bCs/>
        </w:rPr>
        <w:t>because the usual security for repayment of a construction l</w:t>
      </w:r>
      <w:r w:rsidR="007C1098">
        <w:rPr>
          <w:bCs/>
        </w:rPr>
        <w:t>oan</w:t>
      </w:r>
      <w:r w:rsidR="009A3068">
        <w:rPr>
          <w:bCs/>
        </w:rPr>
        <w:t xml:space="preserve"> is a mortgage lien on</w:t>
      </w:r>
      <w:r w:rsidR="0097386D">
        <w:rPr>
          <w:bCs/>
        </w:rPr>
        <w:t xml:space="preserve"> the project—</w:t>
      </w:r>
      <w:r w:rsidR="002E2805">
        <w:rPr>
          <w:bCs/>
        </w:rPr>
        <w:t>an</w:t>
      </w:r>
      <w:r w:rsidR="00FE7EAF">
        <w:rPr>
          <w:bCs/>
        </w:rPr>
        <w:t xml:space="preserve"> incomplete</w:t>
      </w:r>
      <w:r w:rsidR="002E2805">
        <w:rPr>
          <w:bCs/>
        </w:rPr>
        <w:t xml:space="preserve"> asset </w:t>
      </w:r>
      <w:r w:rsidR="00FE7EAF">
        <w:rPr>
          <w:bCs/>
        </w:rPr>
        <w:t xml:space="preserve">of </w:t>
      </w:r>
      <w:r w:rsidR="00F940A1">
        <w:rPr>
          <w:bCs/>
        </w:rPr>
        <w:t>undetermined</w:t>
      </w:r>
      <w:r w:rsidR="00FE7EAF">
        <w:rPr>
          <w:bCs/>
        </w:rPr>
        <w:t xml:space="preserve"> value</w:t>
      </w:r>
      <w:r w:rsidR="002E2805">
        <w:rPr>
          <w:bCs/>
        </w:rPr>
        <w:t xml:space="preserve">. As security </w:t>
      </w:r>
      <w:r w:rsidR="00F03373">
        <w:rPr>
          <w:bCs/>
        </w:rPr>
        <w:t xml:space="preserve">during construction, the project’s value </w:t>
      </w:r>
      <w:r w:rsidR="005E1B91">
        <w:rPr>
          <w:bCs/>
        </w:rPr>
        <w:t xml:space="preserve">typically falls far short of the </w:t>
      </w:r>
      <w:r w:rsidR="0003300C">
        <w:rPr>
          <w:bCs/>
        </w:rPr>
        <w:t xml:space="preserve">ongoing economic investment </w:t>
      </w:r>
      <w:r w:rsidR="00A408F3">
        <w:rPr>
          <w:bCs/>
        </w:rPr>
        <w:t xml:space="preserve">that </w:t>
      </w:r>
      <w:r w:rsidR="00832629">
        <w:rPr>
          <w:bCs/>
        </w:rPr>
        <w:t xml:space="preserve">the project represents </w:t>
      </w:r>
      <w:r w:rsidR="0003300C">
        <w:rPr>
          <w:bCs/>
        </w:rPr>
        <w:t xml:space="preserve">because </w:t>
      </w:r>
      <w:r w:rsidR="001B3B08">
        <w:rPr>
          <w:bCs/>
        </w:rPr>
        <w:t xml:space="preserve">the costs required to complete the project </w:t>
      </w:r>
      <w:r w:rsidR="009B3E5E">
        <w:rPr>
          <w:bCs/>
        </w:rPr>
        <w:t>cannot be known with certainty</w:t>
      </w:r>
      <w:r w:rsidR="00CE7C38">
        <w:rPr>
          <w:bCs/>
        </w:rPr>
        <w:t xml:space="preserve">. </w:t>
      </w:r>
      <w:r w:rsidR="0077153F">
        <w:rPr>
          <w:bCs/>
        </w:rPr>
        <w:t>L</w:t>
      </w:r>
      <w:r w:rsidR="0002365D">
        <w:rPr>
          <w:bCs/>
        </w:rPr>
        <w:t xml:space="preserve">enders and investors </w:t>
      </w:r>
      <w:r w:rsidR="0077153F">
        <w:rPr>
          <w:bCs/>
        </w:rPr>
        <w:t>undertake a</w:t>
      </w:r>
      <w:r w:rsidR="00673E23">
        <w:rPr>
          <w:bCs/>
        </w:rPr>
        <w:t xml:space="preserve"> financial</w:t>
      </w:r>
      <w:r w:rsidR="0077153F">
        <w:rPr>
          <w:bCs/>
        </w:rPr>
        <w:t xml:space="preserve"> </w:t>
      </w:r>
      <w:r w:rsidR="0093746C">
        <w:rPr>
          <w:bCs/>
        </w:rPr>
        <w:t xml:space="preserve">underwriting analysis </w:t>
      </w:r>
      <w:r w:rsidR="0077153F">
        <w:rPr>
          <w:bCs/>
        </w:rPr>
        <w:t xml:space="preserve">based on cost </w:t>
      </w:r>
      <w:r w:rsidR="00EB1F4A">
        <w:rPr>
          <w:bCs/>
        </w:rPr>
        <w:t xml:space="preserve">and valuation </w:t>
      </w:r>
      <w:r w:rsidR="0077153F">
        <w:rPr>
          <w:bCs/>
        </w:rPr>
        <w:t>estimates</w:t>
      </w:r>
      <w:r w:rsidR="005440DC">
        <w:rPr>
          <w:bCs/>
        </w:rPr>
        <w:t xml:space="preserve"> </w:t>
      </w:r>
      <w:r w:rsidR="00F833D7">
        <w:rPr>
          <w:bCs/>
        </w:rPr>
        <w:t xml:space="preserve">that remain </w:t>
      </w:r>
      <w:r w:rsidR="005440DC">
        <w:rPr>
          <w:bCs/>
        </w:rPr>
        <w:t xml:space="preserve">subject to considerable doubt due to </w:t>
      </w:r>
      <w:r w:rsidR="0093746C">
        <w:rPr>
          <w:bCs/>
        </w:rPr>
        <w:t xml:space="preserve">the </w:t>
      </w:r>
      <w:r w:rsidR="0087587C">
        <w:rPr>
          <w:bCs/>
        </w:rPr>
        <w:t xml:space="preserve">risks </w:t>
      </w:r>
      <w:r w:rsidR="004033B7">
        <w:rPr>
          <w:bCs/>
        </w:rPr>
        <w:t xml:space="preserve">that the project’s ultimate value </w:t>
      </w:r>
      <w:r w:rsidR="00D901CB">
        <w:rPr>
          <w:bCs/>
        </w:rPr>
        <w:t>may suffer because of</w:t>
      </w:r>
      <w:r w:rsidR="0087587C">
        <w:rPr>
          <w:bCs/>
        </w:rPr>
        <w:t xml:space="preserve"> defect</w:t>
      </w:r>
      <w:r w:rsidR="00F54B4E">
        <w:rPr>
          <w:bCs/>
        </w:rPr>
        <w:t>ive</w:t>
      </w:r>
      <w:r w:rsidR="0087587C">
        <w:rPr>
          <w:bCs/>
        </w:rPr>
        <w:t xml:space="preserve"> design</w:t>
      </w:r>
      <w:r w:rsidR="00D901CB">
        <w:rPr>
          <w:bCs/>
        </w:rPr>
        <w:t>s</w:t>
      </w:r>
      <w:r w:rsidR="0087587C">
        <w:rPr>
          <w:bCs/>
        </w:rPr>
        <w:t>, faulty construction, insolvency of key project participants</w:t>
      </w:r>
      <w:r w:rsidR="00D901CB">
        <w:rPr>
          <w:bCs/>
        </w:rPr>
        <w:t xml:space="preserve">, and </w:t>
      </w:r>
      <w:r w:rsidR="00E75974">
        <w:rPr>
          <w:bCs/>
        </w:rPr>
        <w:t>deteriorating market conditions</w:t>
      </w:r>
      <w:r w:rsidR="0087587C">
        <w:rPr>
          <w:bCs/>
        </w:rPr>
        <w:t>.</w:t>
      </w:r>
      <w:r w:rsidR="00283DDD">
        <w:rPr>
          <w:bCs/>
        </w:rPr>
        <w:t xml:space="preserve"> </w:t>
      </w:r>
      <w:r w:rsidR="00CE7C38">
        <w:rPr>
          <w:bCs/>
        </w:rPr>
        <w:t xml:space="preserve">Indeed, if a </w:t>
      </w:r>
      <w:r w:rsidR="00842FC6">
        <w:rPr>
          <w:bCs/>
        </w:rPr>
        <w:t>developer</w:t>
      </w:r>
      <w:r w:rsidR="00D91A20">
        <w:rPr>
          <w:bCs/>
        </w:rPr>
        <w:t>,</w:t>
      </w:r>
      <w:r w:rsidR="00BE6040">
        <w:rPr>
          <w:bCs/>
        </w:rPr>
        <w:t xml:space="preserve"> a general contractor</w:t>
      </w:r>
      <w:r w:rsidR="00D91A20">
        <w:rPr>
          <w:bCs/>
        </w:rPr>
        <w:t>, or a</w:t>
      </w:r>
      <w:r w:rsidR="002D007A">
        <w:rPr>
          <w:bCs/>
        </w:rPr>
        <w:t xml:space="preserve">n important </w:t>
      </w:r>
      <w:r w:rsidR="00D91A20">
        <w:rPr>
          <w:bCs/>
        </w:rPr>
        <w:t>trade contractor</w:t>
      </w:r>
      <w:r w:rsidR="00842FC6">
        <w:rPr>
          <w:bCs/>
        </w:rPr>
        <w:t xml:space="preserve"> defaults during construction, costs to complete the project will likely far exceed </w:t>
      </w:r>
      <w:r w:rsidR="00962238">
        <w:rPr>
          <w:bCs/>
        </w:rPr>
        <w:t xml:space="preserve">the budget established at commencement of construction. </w:t>
      </w:r>
      <w:r w:rsidR="00BE6040">
        <w:rPr>
          <w:bCs/>
        </w:rPr>
        <w:t xml:space="preserve">Replacing </w:t>
      </w:r>
      <w:r w:rsidR="0049108C">
        <w:rPr>
          <w:bCs/>
        </w:rPr>
        <w:t xml:space="preserve">the project owner or </w:t>
      </w:r>
      <w:r w:rsidR="00707775">
        <w:rPr>
          <w:bCs/>
        </w:rPr>
        <w:t>a</w:t>
      </w:r>
      <w:r w:rsidR="0049108C">
        <w:rPr>
          <w:bCs/>
        </w:rPr>
        <w:t xml:space="preserve"> contractor inevitably involves delay</w:t>
      </w:r>
      <w:r w:rsidR="007C43A9">
        <w:rPr>
          <w:bCs/>
        </w:rPr>
        <w:t xml:space="preserve"> and </w:t>
      </w:r>
      <w:r w:rsidR="00BC50DC">
        <w:rPr>
          <w:bCs/>
        </w:rPr>
        <w:t xml:space="preserve">price escalation and </w:t>
      </w:r>
      <w:r w:rsidR="00466DD2">
        <w:rPr>
          <w:bCs/>
        </w:rPr>
        <w:t>may</w:t>
      </w:r>
      <w:r w:rsidR="00567995">
        <w:rPr>
          <w:bCs/>
        </w:rPr>
        <w:t xml:space="preserve"> also</w:t>
      </w:r>
      <w:r w:rsidR="00BC50DC">
        <w:rPr>
          <w:bCs/>
        </w:rPr>
        <w:t xml:space="preserve"> result in </w:t>
      </w:r>
      <w:r w:rsidR="00075E5B">
        <w:rPr>
          <w:bCs/>
        </w:rPr>
        <w:t>serious</w:t>
      </w:r>
      <w:r w:rsidR="003836E6">
        <w:rPr>
          <w:bCs/>
        </w:rPr>
        <w:t xml:space="preserve"> problems with </w:t>
      </w:r>
      <w:r w:rsidR="00075E5B">
        <w:rPr>
          <w:bCs/>
        </w:rPr>
        <w:t>other participants</w:t>
      </w:r>
      <w:r w:rsidR="003836E6">
        <w:rPr>
          <w:bCs/>
        </w:rPr>
        <w:t>, including threats of liens against the project</w:t>
      </w:r>
      <w:r w:rsidR="0034511F">
        <w:rPr>
          <w:bCs/>
        </w:rPr>
        <w:t>.</w:t>
      </w:r>
      <w:r w:rsidR="005B6430">
        <w:rPr>
          <w:bCs/>
        </w:rPr>
        <w:t xml:space="preserve"> Even absent defaults during construction, the completed project may have less value than</w:t>
      </w:r>
      <w:r w:rsidR="0079512C">
        <w:rPr>
          <w:bCs/>
        </w:rPr>
        <w:t xml:space="preserve"> anticipated due to deteri</w:t>
      </w:r>
      <w:r w:rsidR="00A13506">
        <w:rPr>
          <w:bCs/>
        </w:rPr>
        <w:t xml:space="preserve">orating conditions in the real estate market or in the industry segment </w:t>
      </w:r>
      <w:r w:rsidR="00E667A2">
        <w:rPr>
          <w:bCs/>
        </w:rPr>
        <w:t>involved.</w:t>
      </w:r>
    </w:p>
    <w:p w14:paraId="5618A78D" w14:textId="05B7AC01" w:rsidR="00E75974" w:rsidRDefault="00E75974" w:rsidP="009C4A8E">
      <w:pPr>
        <w:tabs>
          <w:tab w:val="left" w:pos="720"/>
          <w:tab w:val="left" w:pos="1440"/>
          <w:tab w:val="left" w:pos="2160"/>
          <w:tab w:val="left" w:pos="2856"/>
        </w:tabs>
        <w:rPr>
          <w:bCs/>
        </w:rPr>
      </w:pPr>
      <w:r>
        <w:rPr>
          <w:bCs/>
        </w:rPr>
        <w:tab/>
      </w:r>
      <w:r w:rsidR="002234CC">
        <w:rPr>
          <w:bCs/>
        </w:rPr>
        <w:t>T</w:t>
      </w:r>
      <w:r>
        <w:rPr>
          <w:bCs/>
        </w:rPr>
        <w:t>hese complications</w:t>
      </w:r>
      <w:r w:rsidR="002234CC">
        <w:rPr>
          <w:bCs/>
        </w:rPr>
        <w:t xml:space="preserve"> generally </w:t>
      </w:r>
      <w:r w:rsidR="002F26E2">
        <w:rPr>
          <w:bCs/>
        </w:rPr>
        <w:t>lead</w:t>
      </w:r>
      <w:r>
        <w:rPr>
          <w:bCs/>
        </w:rPr>
        <w:t xml:space="preserve"> construction lenders</w:t>
      </w:r>
      <w:r w:rsidR="004A2228">
        <w:rPr>
          <w:bCs/>
        </w:rPr>
        <w:t xml:space="preserve"> </w:t>
      </w:r>
      <w:r w:rsidR="002F26E2">
        <w:rPr>
          <w:bCs/>
        </w:rPr>
        <w:t>to take</w:t>
      </w:r>
      <w:r w:rsidR="003879A3">
        <w:rPr>
          <w:bCs/>
        </w:rPr>
        <w:t xml:space="preserve"> a cautious approach </w:t>
      </w:r>
      <w:r w:rsidR="002F26E2">
        <w:rPr>
          <w:bCs/>
        </w:rPr>
        <w:t>involving</w:t>
      </w:r>
      <w:r w:rsidR="003879A3">
        <w:rPr>
          <w:bCs/>
        </w:rPr>
        <w:t xml:space="preserve"> </w:t>
      </w:r>
      <w:r w:rsidR="00B3717B">
        <w:rPr>
          <w:bCs/>
        </w:rPr>
        <w:t>special repayment security</w:t>
      </w:r>
      <w:r w:rsidR="00DB2BC0">
        <w:rPr>
          <w:bCs/>
        </w:rPr>
        <w:t xml:space="preserve"> </w:t>
      </w:r>
      <w:r w:rsidR="000417AD">
        <w:rPr>
          <w:bCs/>
        </w:rPr>
        <w:t xml:space="preserve">devices </w:t>
      </w:r>
      <w:r w:rsidR="00DB2BC0">
        <w:rPr>
          <w:bCs/>
        </w:rPr>
        <w:t>and</w:t>
      </w:r>
      <w:r w:rsidR="00B3717B">
        <w:rPr>
          <w:bCs/>
        </w:rPr>
        <w:t xml:space="preserve"> careful loan monitoring</w:t>
      </w:r>
      <w:r w:rsidR="00DB2BC0">
        <w:rPr>
          <w:bCs/>
        </w:rPr>
        <w:t xml:space="preserve"> and administration</w:t>
      </w:r>
      <w:r w:rsidR="00C55CE0">
        <w:rPr>
          <w:bCs/>
        </w:rPr>
        <w:t xml:space="preserve"> practices</w:t>
      </w:r>
      <w:r w:rsidR="00DB2BC0">
        <w:rPr>
          <w:bCs/>
        </w:rPr>
        <w:t>.</w:t>
      </w:r>
      <w:r w:rsidR="00A7186B">
        <w:rPr>
          <w:bCs/>
        </w:rPr>
        <w:t xml:space="preserve"> </w:t>
      </w:r>
      <w:r w:rsidR="000417AD">
        <w:rPr>
          <w:bCs/>
        </w:rPr>
        <w:t>Where</w:t>
      </w:r>
      <w:r w:rsidR="00A7186B">
        <w:rPr>
          <w:bCs/>
        </w:rPr>
        <w:t xml:space="preserve">, as is commonly the case, the project itself is the primary security for </w:t>
      </w:r>
      <w:r w:rsidR="00F75A4D">
        <w:rPr>
          <w:bCs/>
        </w:rPr>
        <w:t>loan repayment</w:t>
      </w:r>
      <w:r w:rsidR="006906E2">
        <w:rPr>
          <w:bCs/>
        </w:rPr>
        <w:t xml:space="preserve"> </w:t>
      </w:r>
      <w:r w:rsidR="008F533E">
        <w:rPr>
          <w:bCs/>
        </w:rPr>
        <w:t>even though</w:t>
      </w:r>
      <w:r w:rsidR="00F75A4D">
        <w:rPr>
          <w:bCs/>
        </w:rPr>
        <w:t xml:space="preserve"> the project will not generate </w:t>
      </w:r>
      <w:r w:rsidR="00040040">
        <w:rPr>
          <w:bCs/>
        </w:rPr>
        <w:t>income</w:t>
      </w:r>
      <w:r w:rsidR="008F533E">
        <w:rPr>
          <w:bCs/>
        </w:rPr>
        <w:t xml:space="preserve"> or have </w:t>
      </w:r>
      <w:r w:rsidR="00D0700B">
        <w:rPr>
          <w:bCs/>
        </w:rPr>
        <w:t>proven</w:t>
      </w:r>
      <w:r w:rsidR="000E5E20">
        <w:rPr>
          <w:bCs/>
        </w:rPr>
        <w:t xml:space="preserve"> value</w:t>
      </w:r>
      <w:r w:rsidR="00040040">
        <w:rPr>
          <w:bCs/>
        </w:rPr>
        <w:t xml:space="preserve"> until completion, construction loans often include at least these features:</w:t>
      </w:r>
    </w:p>
    <w:p w14:paraId="7657209F" w14:textId="22733B86" w:rsidR="00C618C7" w:rsidRDefault="00E96590" w:rsidP="00FB1F7C">
      <w:pPr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56"/>
        </w:tabs>
        <w:rPr>
          <w:bCs/>
        </w:rPr>
      </w:pPr>
      <w:r>
        <w:rPr>
          <w:bCs/>
        </w:rPr>
        <w:t xml:space="preserve">the lender’s review and approval of the project budget, completion schedule, and </w:t>
      </w:r>
      <w:r w:rsidR="00D57081">
        <w:rPr>
          <w:bCs/>
        </w:rPr>
        <w:t>key contracts</w:t>
      </w:r>
      <w:r w:rsidR="00CF30AD">
        <w:rPr>
          <w:bCs/>
        </w:rPr>
        <w:t xml:space="preserve"> and periodic inspections of progress</w:t>
      </w:r>
      <w:r w:rsidR="00191448">
        <w:rPr>
          <w:bCs/>
        </w:rPr>
        <w:t xml:space="preserve"> toward completion</w:t>
      </w:r>
      <w:r w:rsidR="00D57081">
        <w:rPr>
          <w:bCs/>
        </w:rPr>
        <w:t>;</w:t>
      </w:r>
    </w:p>
    <w:p w14:paraId="3C4D4828" w14:textId="45FB5F8F" w:rsidR="005A195C" w:rsidRDefault="00304F1B" w:rsidP="00FB1F7C">
      <w:pPr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56"/>
        </w:tabs>
        <w:rPr>
          <w:bCs/>
        </w:rPr>
      </w:pPr>
      <w:r>
        <w:rPr>
          <w:bCs/>
        </w:rPr>
        <w:t xml:space="preserve">a detailed loan agreement </w:t>
      </w:r>
      <w:r w:rsidR="00C509C5">
        <w:rPr>
          <w:bCs/>
        </w:rPr>
        <w:t>binding the borrower to</w:t>
      </w:r>
      <w:r>
        <w:rPr>
          <w:bCs/>
        </w:rPr>
        <w:t xml:space="preserve"> </w:t>
      </w:r>
      <w:r w:rsidR="00654C56">
        <w:rPr>
          <w:bCs/>
        </w:rPr>
        <w:t>representations, warranties, conditions, and covenants</w:t>
      </w:r>
      <w:r w:rsidR="00C509C5">
        <w:rPr>
          <w:bCs/>
        </w:rPr>
        <w:t xml:space="preserve"> to protect the lender</w:t>
      </w:r>
      <w:r w:rsidR="004E1DEF">
        <w:rPr>
          <w:bCs/>
        </w:rPr>
        <w:t>’</w:t>
      </w:r>
      <w:r w:rsidR="00C509C5">
        <w:rPr>
          <w:bCs/>
        </w:rPr>
        <w:t xml:space="preserve">s interest and </w:t>
      </w:r>
      <w:r w:rsidR="005744D4">
        <w:rPr>
          <w:bCs/>
        </w:rPr>
        <w:t>providing for the lender’s remedies</w:t>
      </w:r>
      <w:r w:rsidR="001663B0">
        <w:rPr>
          <w:bCs/>
        </w:rPr>
        <w:t xml:space="preserve"> in the event the borrower defaults under any of those provisions;</w:t>
      </w:r>
    </w:p>
    <w:p w14:paraId="6D1A3AFE" w14:textId="7B1FB556" w:rsidR="0056228B" w:rsidRDefault="0056228B" w:rsidP="00FB1F7C">
      <w:pPr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56"/>
        </w:tabs>
        <w:rPr>
          <w:bCs/>
        </w:rPr>
      </w:pPr>
      <w:r>
        <w:rPr>
          <w:bCs/>
        </w:rPr>
        <w:t xml:space="preserve">“conditional” assignments </w:t>
      </w:r>
      <w:r w:rsidR="003E756F">
        <w:rPr>
          <w:bCs/>
        </w:rPr>
        <w:t xml:space="preserve">to the lender </w:t>
      </w:r>
      <w:r>
        <w:rPr>
          <w:bCs/>
        </w:rPr>
        <w:t>of</w:t>
      </w:r>
      <w:r w:rsidR="003E756F">
        <w:rPr>
          <w:bCs/>
        </w:rPr>
        <w:t xml:space="preserve"> </w:t>
      </w:r>
      <w:r w:rsidR="00CA3A70">
        <w:rPr>
          <w:bCs/>
        </w:rPr>
        <w:t>certain</w:t>
      </w:r>
      <w:r>
        <w:rPr>
          <w:bCs/>
        </w:rPr>
        <w:t xml:space="preserve"> contracts</w:t>
      </w:r>
      <w:r w:rsidR="003E756F">
        <w:rPr>
          <w:bCs/>
        </w:rPr>
        <w:t xml:space="preserve"> (</w:t>
      </w:r>
      <w:r w:rsidR="00C94E38">
        <w:rPr>
          <w:bCs/>
        </w:rPr>
        <w:t xml:space="preserve">usually at least the contracts between the owner and its design professional and its general </w:t>
      </w:r>
      <w:r w:rsidR="00C94E38">
        <w:rPr>
          <w:bCs/>
        </w:rPr>
        <w:lastRenderedPageBreak/>
        <w:t>contractor)</w:t>
      </w:r>
      <w:r w:rsidR="007B62D5">
        <w:rPr>
          <w:bCs/>
        </w:rPr>
        <w:t xml:space="preserve"> that allow the lender to take over </w:t>
      </w:r>
      <w:r w:rsidR="00A91F67">
        <w:rPr>
          <w:bCs/>
        </w:rPr>
        <w:t xml:space="preserve">the owner’s </w:t>
      </w:r>
      <w:r w:rsidR="00105358">
        <w:rPr>
          <w:bCs/>
        </w:rPr>
        <w:t>position</w:t>
      </w:r>
      <w:r w:rsidR="00DF0517">
        <w:rPr>
          <w:bCs/>
        </w:rPr>
        <w:t xml:space="preserve"> under those contracts </w:t>
      </w:r>
      <w:r w:rsidR="003D25C6">
        <w:rPr>
          <w:bCs/>
        </w:rPr>
        <w:t>if</w:t>
      </w:r>
      <w:r w:rsidR="00DF0517">
        <w:rPr>
          <w:bCs/>
        </w:rPr>
        <w:t xml:space="preserve"> a loan default</w:t>
      </w:r>
      <w:r w:rsidR="003D25C6">
        <w:rPr>
          <w:bCs/>
        </w:rPr>
        <w:t xml:space="preserve"> occurs</w:t>
      </w:r>
      <w:r w:rsidR="00DF0517">
        <w:rPr>
          <w:bCs/>
        </w:rPr>
        <w:t>;</w:t>
      </w:r>
    </w:p>
    <w:p w14:paraId="331C65DA" w14:textId="541ECA8C" w:rsidR="001577B0" w:rsidRDefault="001577B0" w:rsidP="00FB1F7C">
      <w:pPr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56"/>
        </w:tabs>
        <w:rPr>
          <w:bCs/>
        </w:rPr>
      </w:pPr>
      <w:r>
        <w:rPr>
          <w:bCs/>
        </w:rPr>
        <w:t xml:space="preserve">a requirement that the borrower make an advance equity investment </w:t>
      </w:r>
      <w:r w:rsidR="00AB6EF0">
        <w:rPr>
          <w:bCs/>
        </w:rPr>
        <w:t>to cover a portion of the project costs;</w:t>
      </w:r>
    </w:p>
    <w:p w14:paraId="3777FA6D" w14:textId="6D073170" w:rsidR="00FB1F7C" w:rsidRPr="00FB1F7C" w:rsidRDefault="00FB1F7C" w:rsidP="00FB1F7C">
      <w:pPr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56"/>
        </w:tabs>
        <w:rPr>
          <w:bCs/>
        </w:rPr>
      </w:pPr>
      <w:r w:rsidRPr="00FB1F7C">
        <w:rPr>
          <w:bCs/>
        </w:rPr>
        <w:t xml:space="preserve">periodic disbursements </w:t>
      </w:r>
      <w:r w:rsidR="000E5E20">
        <w:rPr>
          <w:bCs/>
        </w:rPr>
        <w:t>of the loan</w:t>
      </w:r>
      <w:r w:rsidR="004A220E">
        <w:rPr>
          <w:bCs/>
        </w:rPr>
        <w:t xml:space="preserve"> proceeds</w:t>
      </w:r>
      <w:r w:rsidR="000E5E20">
        <w:rPr>
          <w:bCs/>
        </w:rPr>
        <w:t xml:space="preserve"> </w:t>
      </w:r>
      <w:r w:rsidRPr="00FB1F7C">
        <w:rPr>
          <w:bCs/>
        </w:rPr>
        <w:t>to reimburse for</w:t>
      </w:r>
      <w:r w:rsidR="00606A80">
        <w:rPr>
          <w:bCs/>
        </w:rPr>
        <w:t xml:space="preserve"> verifiable</w:t>
      </w:r>
      <w:r w:rsidRPr="00FB1F7C">
        <w:rPr>
          <w:bCs/>
        </w:rPr>
        <w:t xml:space="preserve"> costs incurred</w:t>
      </w:r>
      <w:r w:rsidR="00606A80">
        <w:rPr>
          <w:bCs/>
        </w:rPr>
        <w:t xml:space="preserve"> in accordance with the approved budget</w:t>
      </w:r>
      <w:r w:rsidR="005A195C">
        <w:rPr>
          <w:bCs/>
        </w:rPr>
        <w:t xml:space="preserve"> and subject to the borrower’s compliance with loan covenants;</w:t>
      </w:r>
    </w:p>
    <w:p w14:paraId="10CF08EF" w14:textId="375E40E2" w:rsidR="00FB1F7C" w:rsidRPr="00FB1F7C" w:rsidRDefault="00FB1F7C" w:rsidP="00FB1F7C">
      <w:pPr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56"/>
        </w:tabs>
        <w:rPr>
          <w:bCs/>
        </w:rPr>
      </w:pPr>
      <w:r w:rsidRPr="00FB1F7C">
        <w:rPr>
          <w:bCs/>
        </w:rPr>
        <w:t>monthly draws to finance accrued interest</w:t>
      </w:r>
      <w:r w:rsidR="00843CE6">
        <w:rPr>
          <w:bCs/>
        </w:rPr>
        <w:t>, thereby</w:t>
      </w:r>
      <w:r w:rsidR="009C6A73">
        <w:rPr>
          <w:bCs/>
        </w:rPr>
        <w:t xml:space="preserve"> </w:t>
      </w:r>
      <w:r w:rsidRPr="00FB1F7C">
        <w:rPr>
          <w:bCs/>
        </w:rPr>
        <w:t>increas</w:t>
      </w:r>
      <w:r w:rsidR="00843CE6">
        <w:rPr>
          <w:bCs/>
        </w:rPr>
        <w:t>ing</w:t>
      </w:r>
      <w:r w:rsidRPr="00FB1F7C">
        <w:rPr>
          <w:bCs/>
        </w:rPr>
        <w:t xml:space="preserve"> the loan balance</w:t>
      </w:r>
      <w:r w:rsidR="009C6A73">
        <w:rPr>
          <w:bCs/>
        </w:rPr>
        <w:t xml:space="preserve"> beyond the value of </w:t>
      </w:r>
      <w:r w:rsidR="00BE7747">
        <w:rPr>
          <w:bCs/>
        </w:rPr>
        <w:t>the completed work</w:t>
      </w:r>
      <w:r w:rsidRPr="00FB1F7C">
        <w:rPr>
          <w:bCs/>
        </w:rPr>
        <w:t>;</w:t>
      </w:r>
    </w:p>
    <w:p w14:paraId="71966A6D" w14:textId="1891439E" w:rsidR="00FB1F7C" w:rsidRPr="00FB1F7C" w:rsidRDefault="00FB1F7C" w:rsidP="00FB1F7C">
      <w:pPr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56"/>
        </w:tabs>
        <w:rPr>
          <w:bCs/>
        </w:rPr>
      </w:pPr>
      <w:r w:rsidRPr="00FB1F7C">
        <w:rPr>
          <w:bCs/>
        </w:rPr>
        <w:t>full recourse against</w:t>
      </w:r>
      <w:r w:rsidR="00EB42B1">
        <w:rPr>
          <w:bCs/>
        </w:rPr>
        <w:t xml:space="preserve"> whatever </w:t>
      </w:r>
      <w:r w:rsidR="00351FC7">
        <w:rPr>
          <w:bCs/>
        </w:rPr>
        <w:t>assets</w:t>
      </w:r>
      <w:r w:rsidRPr="00FB1F7C">
        <w:rPr>
          <w:bCs/>
        </w:rPr>
        <w:t xml:space="preserve"> the borrower</w:t>
      </w:r>
      <w:r w:rsidR="00351FC7">
        <w:rPr>
          <w:bCs/>
        </w:rPr>
        <w:t xml:space="preserve"> may have in addition to the project</w:t>
      </w:r>
      <w:r w:rsidRPr="00FB1F7C">
        <w:rPr>
          <w:bCs/>
        </w:rPr>
        <w:t>;</w:t>
      </w:r>
    </w:p>
    <w:p w14:paraId="327DBAE1" w14:textId="41486784" w:rsidR="00FB1F7C" w:rsidRPr="00FB1F7C" w:rsidRDefault="00FB1F7C" w:rsidP="00FB1F7C">
      <w:pPr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56"/>
        </w:tabs>
        <w:rPr>
          <w:bCs/>
        </w:rPr>
      </w:pPr>
      <w:r w:rsidRPr="00FB1F7C">
        <w:rPr>
          <w:bCs/>
        </w:rPr>
        <w:t>personal guarantees from stakeholders in the borrowing entity</w:t>
      </w:r>
      <w:r w:rsidR="001117DF">
        <w:rPr>
          <w:bCs/>
        </w:rPr>
        <w:t xml:space="preserve">, which may include a project completion guarantee from </w:t>
      </w:r>
      <w:r w:rsidR="00E2564F">
        <w:rPr>
          <w:bCs/>
        </w:rPr>
        <w:t>one or more of those stakeholders</w:t>
      </w:r>
      <w:r w:rsidRPr="00FB1F7C">
        <w:rPr>
          <w:bCs/>
        </w:rPr>
        <w:t>;</w:t>
      </w:r>
    </w:p>
    <w:p w14:paraId="1FBF8BE8" w14:textId="51A33E0D" w:rsidR="00FB1F7C" w:rsidRPr="00FB1F7C" w:rsidRDefault="00FB1F7C" w:rsidP="00FB1F7C">
      <w:pPr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56"/>
        </w:tabs>
        <w:rPr>
          <w:bCs/>
        </w:rPr>
      </w:pPr>
      <w:r w:rsidRPr="00FB1F7C">
        <w:rPr>
          <w:bCs/>
        </w:rPr>
        <w:t>a</w:t>
      </w:r>
      <w:r w:rsidR="00E2564F">
        <w:rPr>
          <w:bCs/>
        </w:rPr>
        <w:t xml:space="preserve"> loan</w:t>
      </w:r>
      <w:r w:rsidRPr="00FB1F7C">
        <w:rPr>
          <w:bCs/>
        </w:rPr>
        <w:t xml:space="preserve"> maturity</w:t>
      </w:r>
      <w:r w:rsidR="00E31CCB">
        <w:rPr>
          <w:bCs/>
        </w:rPr>
        <w:t xml:space="preserve"> date</w:t>
      </w:r>
      <w:r w:rsidRPr="00FB1F7C">
        <w:rPr>
          <w:bCs/>
        </w:rPr>
        <w:t xml:space="preserve"> matched to the scheduled project completion or occupancy, </w:t>
      </w:r>
      <w:r w:rsidR="00D73979">
        <w:rPr>
          <w:bCs/>
        </w:rPr>
        <w:t xml:space="preserve">often </w:t>
      </w:r>
      <w:r w:rsidRPr="00FB1F7C">
        <w:rPr>
          <w:bCs/>
        </w:rPr>
        <w:t xml:space="preserve">coupled with a commitment from a </w:t>
      </w:r>
      <w:r w:rsidR="00E31CCB">
        <w:rPr>
          <w:bCs/>
        </w:rPr>
        <w:t>long-term</w:t>
      </w:r>
      <w:r w:rsidRPr="00FB1F7C">
        <w:rPr>
          <w:bCs/>
        </w:rPr>
        <w:t xml:space="preserve"> lender</w:t>
      </w:r>
      <w:r w:rsidR="00E31CCB">
        <w:rPr>
          <w:bCs/>
        </w:rPr>
        <w:t xml:space="preserve"> to refinance the project</w:t>
      </w:r>
      <w:r w:rsidR="00676C88">
        <w:rPr>
          <w:bCs/>
        </w:rPr>
        <w:t xml:space="preserve"> upon completion</w:t>
      </w:r>
      <w:r w:rsidRPr="00FB1F7C">
        <w:rPr>
          <w:bCs/>
        </w:rPr>
        <w:t>.</w:t>
      </w:r>
    </w:p>
    <w:p w14:paraId="3CFD0F41" w14:textId="0C0D4487" w:rsidR="001577B0" w:rsidRPr="00DC1C2E" w:rsidRDefault="00676C88" w:rsidP="009C4A8E">
      <w:pPr>
        <w:tabs>
          <w:tab w:val="left" w:pos="720"/>
          <w:tab w:val="left" w:pos="1440"/>
          <w:tab w:val="left" w:pos="2160"/>
          <w:tab w:val="left" w:pos="2856"/>
        </w:tabs>
        <w:rPr>
          <w:bCs/>
        </w:rPr>
      </w:pPr>
      <w:r>
        <w:rPr>
          <w:bCs/>
        </w:rPr>
        <w:tab/>
      </w:r>
      <w:r w:rsidR="00CE73F0">
        <w:rPr>
          <w:bCs/>
        </w:rPr>
        <w:t>T</w:t>
      </w:r>
      <w:r w:rsidR="0047698E">
        <w:rPr>
          <w:bCs/>
        </w:rPr>
        <w:t xml:space="preserve">o this point, focus has been on conventional construction lending in which a bank or other commercial lending institution </w:t>
      </w:r>
      <w:r w:rsidR="005873D5">
        <w:rPr>
          <w:bCs/>
        </w:rPr>
        <w:t>extends a mortgage loan to the project owner to finance a substantial part of the construction costs.</w:t>
      </w:r>
      <w:r w:rsidR="004E6C7E">
        <w:rPr>
          <w:bCs/>
        </w:rPr>
        <w:t xml:space="preserve"> </w:t>
      </w:r>
      <w:r w:rsidR="00AC5DBE">
        <w:rPr>
          <w:bCs/>
        </w:rPr>
        <w:t>Variations on this structure</w:t>
      </w:r>
      <w:r w:rsidR="00214DC8">
        <w:rPr>
          <w:bCs/>
        </w:rPr>
        <w:t>, however, are also common. For example,</w:t>
      </w:r>
      <w:r w:rsidR="00EE0026">
        <w:rPr>
          <w:bCs/>
        </w:rPr>
        <w:t xml:space="preserve"> in what is sometimes simply labeled “project financing,”</w:t>
      </w:r>
      <w:r w:rsidR="00EC1E6D">
        <w:rPr>
          <w:bCs/>
        </w:rPr>
        <w:t xml:space="preserve"> </w:t>
      </w:r>
      <w:r w:rsidR="00A9392B">
        <w:rPr>
          <w:bCs/>
        </w:rPr>
        <w:t>a</w:t>
      </w:r>
      <w:r w:rsidR="00EC1E6D">
        <w:rPr>
          <w:bCs/>
        </w:rPr>
        <w:t xml:space="preserve"> financing institution or</w:t>
      </w:r>
      <w:r w:rsidR="00514C6E">
        <w:rPr>
          <w:bCs/>
        </w:rPr>
        <w:t xml:space="preserve"> investment</w:t>
      </w:r>
      <w:r w:rsidR="00EC1E6D">
        <w:rPr>
          <w:bCs/>
        </w:rPr>
        <w:t xml:space="preserve"> group may </w:t>
      </w:r>
      <w:r w:rsidR="00C13B82">
        <w:rPr>
          <w:bCs/>
        </w:rPr>
        <w:t>rely on</w:t>
      </w:r>
      <w:r w:rsidR="00214DC8">
        <w:rPr>
          <w:bCs/>
        </w:rPr>
        <w:t xml:space="preserve"> a project</w:t>
      </w:r>
      <w:r w:rsidR="00C13B82">
        <w:rPr>
          <w:bCs/>
        </w:rPr>
        <w:t>’s projected revenue</w:t>
      </w:r>
      <w:r w:rsidR="00214DC8">
        <w:rPr>
          <w:bCs/>
        </w:rPr>
        <w:t xml:space="preserve"> </w:t>
      </w:r>
      <w:r w:rsidR="00EE0026">
        <w:rPr>
          <w:bCs/>
        </w:rPr>
        <w:t>as the primary or exclus</w:t>
      </w:r>
      <w:r w:rsidR="00514C6E">
        <w:rPr>
          <w:bCs/>
        </w:rPr>
        <w:t>ive source of loan repayment or return on investment</w:t>
      </w:r>
      <w:r w:rsidR="001B217F">
        <w:rPr>
          <w:bCs/>
        </w:rPr>
        <w:t>. Under</w:t>
      </w:r>
      <w:r w:rsidR="009E3698">
        <w:rPr>
          <w:bCs/>
        </w:rPr>
        <w:t xml:space="preserve"> </w:t>
      </w:r>
      <w:r w:rsidR="00BB50AF">
        <w:rPr>
          <w:bCs/>
        </w:rPr>
        <w:t xml:space="preserve">this structure, </w:t>
      </w:r>
      <w:r w:rsidR="009E3698">
        <w:rPr>
          <w:bCs/>
        </w:rPr>
        <w:t xml:space="preserve">the entity developing the project </w:t>
      </w:r>
      <w:r w:rsidR="00CD0326">
        <w:rPr>
          <w:bCs/>
        </w:rPr>
        <w:t xml:space="preserve">and its stakeholders </w:t>
      </w:r>
      <w:r w:rsidR="009E3698">
        <w:rPr>
          <w:bCs/>
        </w:rPr>
        <w:t>do not commit other assets</w:t>
      </w:r>
      <w:r w:rsidR="00CD0326">
        <w:rPr>
          <w:bCs/>
        </w:rPr>
        <w:t xml:space="preserve"> to</w:t>
      </w:r>
      <w:r w:rsidR="007F4635">
        <w:rPr>
          <w:bCs/>
        </w:rPr>
        <w:t xml:space="preserve"> loan</w:t>
      </w:r>
      <w:r w:rsidR="00CD0326">
        <w:rPr>
          <w:bCs/>
        </w:rPr>
        <w:t xml:space="preserve"> repayment.</w:t>
      </w:r>
      <w:r w:rsidR="00117650">
        <w:rPr>
          <w:bCs/>
        </w:rPr>
        <w:t xml:space="preserve"> </w:t>
      </w:r>
      <w:r w:rsidR="00F43AD4">
        <w:rPr>
          <w:bCs/>
        </w:rPr>
        <w:t xml:space="preserve">Such arrangements </w:t>
      </w:r>
      <w:r w:rsidR="00B73C83">
        <w:rPr>
          <w:bCs/>
        </w:rPr>
        <w:t>sometimes</w:t>
      </w:r>
      <w:r w:rsidR="00F43AD4">
        <w:rPr>
          <w:bCs/>
        </w:rPr>
        <w:t xml:space="preserve"> finance large industrial </w:t>
      </w:r>
      <w:r w:rsidR="00620294">
        <w:rPr>
          <w:bCs/>
        </w:rPr>
        <w:t xml:space="preserve">projects. </w:t>
      </w:r>
      <w:r w:rsidR="00FC4E16">
        <w:rPr>
          <w:bCs/>
        </w:rPr>
        <w:t>Similarly, i</w:t>
      </w:r>
      <w:r w:rsidR="00117650">
        <w:rPr>
          <w:bCs/>
        </w:rPr>
        <w:t>n a public-private-partnership</w:t>
      </w:r>
      <w:r w:rsidR="00FC4E16">
        <w:rPr>
          <w:bCs/>
        </w:rPr>
        <w:t>, private investors may finance</w:t>
      </w:r>
      <w:r w:rsidR="00452044">
        <w:rPr>
          <w:bCs/>
        </w:rPr>
        <w:t xml:space="preserve"> construction of</w:t>
      </w:r>
      <w:r w:rsidR="00FC4E16">
        <w:rPr>
          <w:bCs/>
        </w:rPr>
        <w:t xml:space="preserve"> a project</w:t>
      </w:r>
      <w:r w:rsidR="007A6AF8">
        <w:rPr>
          <w:bCs/>
        </w:rPr>
        <w:t xml:space="preserve"> for public use</w:t>
      </w:r>
      <w:r w:rsidR="00620294">
        <w:rPr>
          <w:bCs/>
        </w:rPr>
        <w:t>, such as a toll road</w:t>
      </w:r>
      <w:r w:rsidR="00452044">
        <w:rPr>
          <w:bCs/>
        </w:rPr>
        <w:t>, in exchange for the</w:t>
      </w:r>
      <w:r w:rsidR="004D58B2">
        <w:rPr>
          <w:bCs/>
        </w:rPr>
        <w:t xml:space="preserve"> right to collect </w:t>
      </w:r>
      <w:r w:rsidR="006133EB">
        <w:rPr>
          <w:bCs/>
        </w:rPr>
        <w:t xml:space="preserve">project </w:t>
      </w:r>
      <w:r w:rsidR="004D58B2">
        <w:rPr>
          <w:bCs/>
        </w:rPr>
        <w:t xml:space="preserve">revenues over an extended operational period calculated to </w:t>
      </w:r>
      <w:r w:rsidR="008E20FA">
        <w:rPr>
          <w:bCs/>
        </w:rPr>
        <w:t xml:space="preserve">allow the financing </w:t>
      </w:r>
      <w:r w:rsidR="00C23D6B">
        <w:rPr>
          <w:bCs/>
        </w:rPr>
        <w:t>entity</w:t>
      </w:r>
      <w:r w:rsidR="008E20FA">
        <w:rPr>
          <w:bCs/>
        </w:rPr>
        <w:t xml:space="preserve"> to recoup </w:t>
      </w:r>
      <w:r w:rsidR="00C23D6B">
        <w:rPr>
          <w:bCs/>
        </w:rPr>
        <w:t>its investment plus a targeted return on that investment.</w:t>
      </w:r>
      <w:r w:rsidR="00445EAD">
        <w:rPr>
          <w:bCs/>
        </w:rPr>
        <w:t xml:space="preserve"> Build-own-operate-transfer delivery systems </w:t>
      </w:r>
      <w:r w:rsidR="00EA6274">
        <w:rPr>
          <w:bCs/>
        </w:rPr>
        <w:t xml:space="preserve">follow this structure. </w:t>
      </w:r>
      <w:r w:rsidR="000631C1">
        <w:rPr>
          <w:bCs/>
        </w:rPr>
        <w:t>A</w:t>
      </w:r>
      <w:r w:rsidR="00D95729">
        <w:rPr>
          <w:bCs/>
        </w:rPr>
        <w:t xml:space="preserve">n alternative </w:t>
      </w:r>
      <w:r w:rsidR="004F7C1C">
        <w:rPr>
          <w:bCs/>
        </w:rPr>
        <w:t>approach</w:t>
      </w:r>
      <w:r w:rsidR="009A3F41">
        <w:rPr>
          <w:bCs/>
        </w:rPr>
        <w:t xml:space="preserve"> supplements the primary construction loan </w:t>
      </w:r>
      <w:r w:rsidR="004F7C1C">
        <w:rPr>
          <w:bCs/>
        </w:rPr>
        <w:t>with</w:t>
      </w:r>
      <w:r w:rsidR="00EA6274">
        <w:rPr>
          <w:bCs/>
        </w:rPr>
        <w:t xml:space="preserve"> secondary</w:t>
      </w:r>
      <w:r w:rsidR="00B7627C">
        <w:rPr>
          <w:bCs/>
        </w:rPr>
        <w:t xml:space="preserve"> or “mezzanine”</w:t>
      </w:r>
      <w:r w:rsidR="00EA6274">
        <w:rPr>
          <w:bCs/>
        </w:rPr>
        <w:t xml:space="preserve"> financing</w:t>
      </w:r>
      <w:r w:rsidR="00B7627C">
        <w:rPr>
          <w:bCs/>
        </w:rPr>
        <w:t xml:space="preserve"> by investors who either hold a mortgage on the project </w:t>
      </w:r>
      <w:r w:rsidR="00C16A4F">
        <w:rPr>
          <w:bCs/>
        </w:rPr>
        <w:t xml:space="preserve">that is inferior </w:t>
      </w:r>
      <w:r w:rsidR="001A0DBD">
        <w:rPr>
          <w:bCs/>
        </w:rPr>
        <w:t xml:space="preserve">in priority </w:t>
      </w:r>
      <w:r w:rsidR="00C16A4F">
        <w:rPr>
          <w:bCs/>
        </w:rPr>
        <w:t xml:space="preserve">to the primary lender’s mortgage or who have </w:t>
      </w:r>
      <w:r w:rsidR="00663F30">
        <w:rPr>
          <w:bCs/>
        </w:rPr>
        <w:t xml:space="preserve">some form of security </w:t>
      </w:r>
      <w:r w:rsidR="00112139">
        <w:rPr>
          <w:bCs/>
        </w:rPr>
        <w:t>in the borrowing entity itself.</w:t>
      </w:r>
      <w:r w:rsidR="00033F63">
        <w:rPr>
          <w:bCs/>
        </w:rPr>
        <w:t xml:space="preserve"> </w:t>
      </w:r>
      <w:r w:rsidR="00921B36">
        <w:rPr>
          <w:bCs/>
        </w:rPr>
        <w:t>Other financing variation</w:t>
      </w:r>
      <w:r w:rsidR="00FF54B0">
        <w:rPr>
          <w:bCs/>
        </w:rPr>
        <w:t>s</w:t>
      </w:r>
      <w:r w:rsidR="000C133B">
        <w:rPr>
          <w:bCs/>
        </w:rPr>
        <w:t xml:space="preserve"> exist as well, constrained only by market conditions and </w:t>
      </w:r>
      <w:r w:rsidR="00972B7D">
        <w:rPr>
          <w:bCs/>
        </w:rPr>
        <w:t xml:space="preserve">investor </w:t>
      </w:r>
      <w:r w:rsidR="00554BCC">
        <w:rPr>
          <w:bCs/>
        </w:rPr>
        <w:t>interests and creativity.</w:t>
      </w:r>
    </w:p>
    <w:p w14:paraId="642EDBA2" w14:textId="74ACB2FC" w:rsidR="00B07F22" w:rsidRDefault="00B07F22" w:rsidP="009C4A8E">
      <w:pPr>
        <w:tabs>
          <w:tab w:val="left" w:pos="720"/>
          <w:tab w:val="left" w:pos="1440"/>
          <w:tab w:val="left" w:pos="2160"/>
          <w:tab w:val="left" w:pos="2856"/>
        </w:tabs>
        <w:rPr>
          <w:rFonts w:cs="Times New Roman"/>
        </w:rPr>
      </w:pPr>
      <w:r>
        <w:rPr>
          <w:rFonts w:cs="Times New Roman"/>
          <w:i/>
          <w:iCs/>
        </w:rPr>
        <w:t>Suggested additional reading assignments</w:t>
      </w:r>
    </w:p>
    <w:p w14:paraId="505F105D" w14:textId="1A1538B6" w:rsidR="00DC1C2E" w:rsidRDefault="00DC1C2E" w:rsidP="009C4A8E">
      <w:pPr>
        <w:tabs>
          <w:tab w:val="left" w:pos="720"/>
          <w:tab w:val="left" w:pos="1440"/>
          <w:tab w:val="left" w:pos="2160"/>
          <w:tab w:val="left" w:pos="2856"/>
        </w:tabs>
      </w:pPr>
      <w:r>
        <w:lastRenderedPageBreak/>
        <w:t xml:space="preserve">Selected sections </w:t>
      </w:r>
      <w:r w:rsidR="00423963">
        <w:t xml:space="preserve">of </w:t>
      </w:r>
      <w:r>
        <w:t xml:space="preserve">Chapter 14 of the </w:t>
      </w:r>
      <w:r w:rsidRPr="004B7806">
        <w:rPr>
          <w:i/>
          <w:iCs/>
        </w:rPr>
        <w:t>Construction Law</w:t>
      </w:r>
      <w:r>
        <w:t xml:space="preserve"> treatise available on Lexis/Nexis </w:t>
      </w:r>
      <w:r w:rsidR="00634EB5">
        <w:t>(</w:t>
      </w:r>
      <w:r w:rsidR="00D46073">
        <w:t xml:space="preserve">titled </w:t>
      </w:r>
      <w:r w:rsidR="00D46073">
        <w:t>“Construction Financing, Banking, and Loans</w:t>
      </w:r>
      <w:r w:rsidR="006030CF">
        <w:t>,</w:t>
      </w:r>
      <w:r w:rsidR="00D46073">
        <w:t>”</w:t>
      </w:r>
      <w:r w:rsidR="006030CF">
        <w:t xml:space="preserve"> which</w:t>
      </w:r>
      <w:r w:rsidR="00D46073">
        <w:t xml:space="preserve"> </w:t>
      </w:r>
      <w:r>
        <w:t>deal</w:t>
      </w:r>
      <w:r w:rsidR="006030CF">
        <w:t>s</w:t>
      </w:r>
      <w:r>
        <w:t xml:space="preserve"> broadly with construction finance</w:t>
      </w:r>
      <w:r w:rsidR="00634EB5">
        <w:t xml:space="preserve"> and includ</w:t>
      </w:r>
      <w:r w:rsidR="006030CF">
        <w:t>es</w:t>
      </w:r>
      <w:r>
        <w:t xml:space="preserve"> a construction loan checklist and sample loan agreement</w:t>
      </w:r>
      <w:r w:rsidR="00634EB5">
        <w:t>)</w:t>
      </w:r>
      <w:r>
        <w:t>.</w:t>
      </w:r>
    </w:p>
    <w:p w14:paraId="14E031C0" w14:textId="7213E061" w:rsidR="00610332" w:rsidRDefault="00A21193" w:rsidP="009C4A8E">
      <w:pPr>
        <w:tabs>
          <w:tab w:val="left" w:pos="720"/>
          <w:tab w:val="left" w:pos="1440"/>
          <w:tab w:val="left" w:pos="2160"/>
          <w:tab w:val="left" w:pos="2856"/>
        </w:tabs>
      </w:pPr>
      <w:r w:rsidRPr="0050622B">
        <w:t>Sarah M. Armendariz</w:t>
      </w:r>
      <w:r>
        <w:t xml:space="preserve"> &amp;</w:t>
      </w:r>
      <w:r w:rsidRPr="0050622B">
        <w:t xml:space="preserve"> Gary A. Goodman, </w:t>
      </w:r>
      <w:r w:rsidRPr="00C67F29">
        <w:rPr>
          <w:i/>
          <w:iCs/>
        </w:rPr>
        <w:t xml:space="preserve">Defensive Construction Lending: What </w:t>
      </w:r>
      <w:r w:rsidR="006E05C7">
        <w:rPr>
          <w:i/>
          <w:iCs/>
        </w:rPr>
        <w:t>a</w:t>
      </w:r>
      <w:r w:rsidRPr="00C67F29">
        <w:rPr>
          <w:i/>
          <w:iCs/>
        </w:rPr>
        <w:t xml:space="preserve"> Lender Needs to Know Before Making </w:t>
      </w:r>
      <w:r w:rsidR="006E05C7">
        <w:rPr>
          <w:i/>
          <w:iCs/>
        </w:rPr>
        <w:t>a</w:t>
      </w:r>
      <w:r w:rsidRPr="00C67F29">
        <w:rPr>
          <w:i/>
          <w:iCs/>
        </w:rPr>
        <w:t xml:space="preserve"> Construction Loan</w:t>
      </w:r>
      <w:r w:rsidRPr="0050622B">
        <w:t>, Prac. Real Est. Law., March 2024, at 19</w:t>
      </w:r>
      <w:r w:rsidR="00C67F29">
        <w:t>.</w:t>
      </w:r>
    </w:p>
    <w:p w14:paraId="27CEE719" w14:textId="0139730B" w:rsidR="004B06E7" w:rsidRPr="00610332" w:rsidRDefault="004B06E7" w:rsidP="009C4A8E">
      <w:pPr>
        <w:tabs>
          <w:tab w:val="left" w:pos="720"/>
          <w:tab w:val="left" w:pos="1440"/>
          <w:tab w:val="left" w:pos="2160"/>
          <w:tab w:val="left" w:pos="2856"/>
        </w:tabs>
        <w:rPr>
          <w:bCs/>
        </w:rPr>
      </w:pPr>
      <w:r w:rsidRPr="00DB3306">
        <w:t xml:space="preserve">Charles E. Aster &amp; Michael A. Attaway, </w:t>
      </w:r>
      <w:r w:rsidRPr="004B06E7">
        <w:rPr>
          <w:i/>
          <w:iCs/>
        </w:rPr>
        <w:t>Syndicated Construction Loans, Defaulting Lenders, and Equitable Remedies</w:t>
      </w:r>
      <w:r w:rsidRPr="00DB3306">
        <w:t>, 48 Tex. Tech L. Rev. 853 (2016)</w:t>
      </w:r>
      <w:r>
        <w:t>.</w:t>
      </w:r>
    </w:p>
    <w:sectPr w:rsidR="004B06E7" w:rsidRPr="0061033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7F0B6" w14:textId="77777777" w:rsidR="00AB3414" w:rsidRDefault="00AB3414" w:rsidP="005409B2">
      <w:pPr>
        <w:spacing w:after="0" w:line="240" w:lineRule="auto"/>
      </w:pPr>
      <w:r>
        <w:separator/>
      </w:r>
    </w:p>
  </w:endnote>
  <w:endnote w:type="continuationSeparator" w:id="0">
    <w:p w14:paraId="07B03DA3" w14:textId="77777777" w:rsidR="00AB3414" w:rsidRDefault="00AB3414" w:rsidP="0054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2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C7136D" w14:textId="1DEBF30D" w:rsidR="00B94A10" w:rsidRDefault="00B94A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7AE73E" w14:textId="77777777" w:rsidR="004A43B0" w:rsidRDefault="004A4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95A8A" w14:textId="77777777" w:rsidR="00AB3414" w:rsidRDefault="00AB3414" w:rsidP="005409B2">
      <w:pPr>
        <w:spacing w:after="0" w:line="240" w:lineRule="auto"/>
      </w:pPr>
      <w:r>
        <w:separator/>
      </w:r>
    </w:p>
  </w:footnote>
  <w:footnote w:type="continuationSeparator" w:id="0">
    <w:p w14:paraId="59A24D30" w14:textId="77777777" w:rsidR="00AB3414" w:rsidRDefault="00AB3414" w:rsidP="0054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AB94" w14:textId="6D22CBA9" w:rsidR="005409B2" w:rsidRDefault="004120F1">
    <w:pPr>
      <w:pStyle w:val="Header"/>
    </w:pPr>
    <w:r>
      <w:t xml:space="preserve">© Carl J. Circo </w:t>
    </w:r>
    <w:r w:rsidR="005409B2">
      <w:t>January 2026</w:t>
    </w:r>
  </w:p>
  <w:p w14:paraId="1CDF3CF6" w14:textId="77777777" w:rsidR="005409B2" w:rsidRDefault="005409B2">
    <w:pPr>
      <w:pStyle w:val="Header"/>
    </w:pPr>
  </w:p>
  <w:p w14:paraId="63940243" w14:textId="77777777" w:rsidR="005409B2" w:rsidRDefault="00540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B30C3"/>
    <w:multiLevelType w:val="hybridMultilevel"/>
    <w:tmpl w:val="DF988AA4"/>
    <w:lvl w:ilvl="0" w:tplc="46E2C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ECE4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7CE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CD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F8E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A6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70D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6A2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74A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3B340AF"/>
    <w:multiLevelType w:val="hybridMultilevel"/>
    <w:tmpl w:val="8FF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618494">
    <w:abstractNumId w:val="1"/>
  </w:num>
  <w:num w:numId="2" w16cid:durableId="35168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B2"/>
    <w:rsid w:val="000038D9"/>
    <w:rsid w:val="0001208E"/>
    <w:rsid w:val="0002365D"/>
    <w:rsid w:val="000308F3"/>
    <w:rsid w:val="0003300C"/>
    <w:rsid w:val="00033F63"/>
    <w:rsid w:val="00040040"/>
    <w:rsid w:val="000417AD"/>
    <w:rsid w:val="00053B59"/>
    <w:rsid w:val="000573A2"/>
    <w:rsid w:val="000631C1"/>
    <w:rsid w:val="00064911"/>
    <w:rsid w:val="000759B6"/>
    <w:rsid w:val="00075E5B"/>
    <w:rsid w:val="00080D5C"/>
    <w:rsid w:val="00082DDF"/>
    <w:rsid w:val="0009208D"/>
    <w:rsid w:val="0009254D"/>
    <w:rsid w:val="000A58D9"/>
    <w:rsid w:val="000B3367"/>
    <w:rsid w:val="000C133B"/>
    <w:rsid w:val="000C5DB5"/>
    <w:rsid w:val="000C617D"/>
    <w:rsid w:val="000D487D"/>
    <w:rsid w:val="000D75C9"/>
    <w:rsid w:val="000E5E20"/>
    <w:rsid w:val="000F3E6B"/>
    <w:rsid w:val="00103ACF"/>
    <w:rsid w:val="00105358"/>
    <w:rsid w:val="001117DF"/>
    <w:rsid w:val="00112139"/>
    <w:rsid w:val="00117650"/>
    <w:rsid w:val="00117841"/>
    <w:rsid w:val="00130AE3"/>
    <w:rsid w:val="00131547"/>
    <w:rsid w:val="00137EE7"/>
    <w:rsid w:val="001401E1"/>
    <w:rsid w:val="00144B87"/>
    <w:rsid w:val="00144EB1"/>
    <w:rsid w:val="00144FC3"/>
    <w:rsid w:val="00147E59"/>
    <w:rsid w:val="001577B0"/>
    <w:rsid w:val="0016491A"/>
    <w:rsid w:val="001649BD"/>
    <w:rsid w:val="001663B0"/>
    <w:rsid w:val="00167972"/>
    <w:rsid w:val="00171BBA"/>
    <w:rsid w:val="00185B01"/>
    <w:rsid w:val="00191448"/>
    <w:rsid w:val="0019217B"/>
    <w:rsid w:val="00194D05"/>
    <w:rsid w:val="00195573"/>
    <w:rsid w:val="001A0A79"/>
    <w:rsid w:val="001A0DBD"/>
    <w:rsid w:val="001A162A"/>
    <w:rsid w:val="001A3B11"/>
    <w:rsid w:val="001B217F"/>
    <w:rsid w:val="001B3AF3"/>
    <w:rsid w:val="001B3B08"/>
    <w:rsid w:val="001C3DE6"/>
    <w:rsid w:val="001C78F9"/>
    <w:rsid w:val="001D45DA"/>
    <w:rsid w:val="001D7D27"/>
    <w:rsid w:val="001E1FE0"/>
    <w:rsid w:val="001E4C08"/>
    <w:rsid w:val="001E739A"/>
    <w:rsid w:val="00202882"/>
    <w:rsid w:val="00214DC8"/>
    <w:rsid w:val="002234CC"/>
    <w:rsid w:val="00224F99"/>
    <w:rsid w:val="002453CB"/>
    <w:rsid w:val="00254381"/>
    <w:rsid w:val="00254F1F"/>
    <w:rsid w:val="002604AD"/>
    <w:rsid w:val="00270F9D"/>
    <w:rsid w:val="002812F3"/>
    <w:rsid w:val="00283DDD"/>
    <w:rsid w:val="00283EA3"/>
    <w:rsid w:val="00293536"/>
    <w:rsid w:val="002A2632"/>
    <w:rsid w:val="002A64F7"/>
    <w:rsid w:val="002A690F"/>
    <w:rsid w:val="002A78B2"/>
    <w:rsid w:val="002D007A"/>
    <w:rsid w:val="002D19B3"/>
    <w:rsid w:val="002E2805"/>
    <w:rsid w:val="002F26E2"/>
    <w:rsid w:val="002F4A81"/>
    <w:rsid w:val="002F4EA9"/>
    <w:rsid w:val="002F573E"/>
    <w:rsid w:val="00304F1B"/>
    <w:rsid w:val="00310BB3"/>
    <w:rsid w:val="00316EF6"/>
    <w:rsid w:val="0031701E"/>
    <w:rsid w:val="00324214"/>
    <w:rsid w:val="00324A5B"/>
    <w:rsid w:val="003267F9"/>
    <w:rsid w:val="00336641"/>
    <w:rsid w:val="0034511F"/>
    <w:rsid w:val="00346938"/>
    <w:rsid w:val="00346BC0"/>
    <w:rsid w:val="00351FC7"/>
    <w:rsid w:val="00352FA1"/>
    <w:rsid w:val="00355FDE"/>
    <w:rsid w:val="00356304"/>
    <w:rsid w:val="00357E78"/>
    <w:rsid w:val="00360895"/>
    <w:rsid w:val="00363194"/>
    <w:rsid w:val="00367A05"/>
    <w:rsid w:val="00370EB6"/>
    <w:rsid w:val="00371D08"/>
    <w:rsid w:val="003836E6"/>
    <w:rsid w:val="003879A3"/>
    <w:rsid w:val="00396135"/>
    <w:rsid w:val="00396894"/>
    <w:rsid w:val="003A293A"/>
    <w:rsid w:val="003B1888"/>
    <w:rsid w:val="003B4CB5"/>
    <w:rsid w:val="003B690F"/>
    <w:rsid w:val="003C1B69"/>
    <w:rsid w:val="003C5A63"/>
    <w:rsid w:val="003D25C6"/>
    <w:rsid w:val="003E2333"/>
    <w:rsid w:val="003E2AF8"/>
    <w:rsid w:val="003E469C"/>
    <w:rsid w:val="003E756F"/>
    <w:rsid w:val="003F504C"/>
    <w:rsid w:val="003F6E14"/>
    <w:rsid w:val="003F7F03"/>
    <w:rsid w:val="00400F2E"/>
    <w:rsid w:val="004033B7"/>
    <w:rsid w:val="004078A3"/>
    <w:rsid w:val="004120F1"/>
    <w:rsid w:val="00420C5A"/>
    <w:rsid w:val="00421248"/>
    <w:rsid w:val="00423002"/>
    <w:rsid w:val="00423963"/>
    <w:rsid w:val="00443FDC"/>
    <w:rsid w:val="00445EAD"/>
    <w:rsid w:val="00446053"/>
    <w:rsid w:val="00452044"/>
    <w:rsid w:val="004621C0"/>
    <w:rsid w:val="00466DD2"/>
    <w:rsid w:val="004761F7"/>
    <w:rsid w:val="0047698E"/>
    <w:rsid w:val="00476D2A"/>
    <w:rsid w:val="00485E5C"/>
    <w:rsid w:val="0049108C"/>
    <w:rsid w:val="00492085"/>
    <w:rsid w:val="004A220E"/>
    <w:rsid w:val="004A2228"/>
    <w:rsid w:val="004A255D"/>
    <w:rsid w:val="004A43B0"/>
    <w:rsid w:val="004B06E7"/>
    <w:rsid w:val="004B7806"/>
    <w:rsid w:val="004B7D66"/>
    <w:rsid w:val="004C46E2"/>
    <w:rsid w:val="004D2DC2"/>
    <w:rsid w:val="004D58B2"/>
    <w:rsid w:val="004E10E0"/>
    <w:rsid w:val="004E1DEF"/>
    <w:rsid w:val="004E48C9"/>
    <w:rsid w:val="004E4FA1"/>
    <w:rsid w:val="004E502E"/>
    <w:rsid w:val="004E6C7E"/>
    <w:rsid w:val="004F5A88"/>
    <w:rsid w:val="004F7C1C"/>
    <w:rsid w:val="005120C3"/>
    <w:rsid w:val="0051435A"/>
    <w:rsid w:val="00514C6E"/>
    <w:rsid w:val="0052562D"/>
    <w:rsid w:val="00526134"/>
    <w:rsid w:val="005409B2"/>
    <w:rsid w:val="005440DC"/>
    <w:rsid w:val="00546EFD"/>
    <w:rsid w:val="00554BCC"/>
    <w:rsid w:val="005601D0"/>
    <w:rsid w:val="0056049A"/>
    <w:rsid w:val="0056228B"/>
    <w:rsid w:val="005631D4"/>
    <w:rsid w:val="00567995"/>
    <w:rsid w:val="005744D4"/>
    <w:rsid w:val="00580051"/>
    <w:rsid w:val="005804B9"/>
    <w:rsid w:val="005873D5"/>
    <w:rsid w:val="005934CB"/>
    <w:rsid w:val="00595EFA"/>
    <w:rsid w:val="00596530"/>
    <w:rsid w:val="005A077A"/>
    <w:rsid w:val="005A195C"/>
    <w:rsid w:val="005A24A0"/>
    <w:rsid w:val="005B6430"/>
    <w:rsid w:val="005C23B3"/>
    <w:rsid w:val="005C3B84"/>
    <w:rsid w:val="005D1619"/>
    <w:rsid w:val="005D5679"/>
    <w:rsid w:val="005E1B91"/>
    <w:rsid w:val="005E2E68"/>
    <w:rsid w:val="005E6F8F"/>
    <w:rsid w:val="005F6D05"/>
    <w:rsid w:val="006030CF"/>
    <w:rsid w:val="00605AC5"/>
    <w:rsid w:val="00606A80"/>
    <w:rsid w:val="00610332"/>
    <w:rsid w:val="00612D4D"/>
    <w:rsid w:val="006133EB"/>
    <w:rsid w:val="00620294"/>
    <w:rsid w:val="00620C08"/>
    <w:rsid w:val="006315E6"/>
    <w:rsid w:val="00634EB5"/>
    <w:rsid w:val="00644B02"/>
    <w:rsid w:val="00654C56"/>
    <w:rsid w:val="00663F30"/>
    <w:rsid w:val="0067041B"/>
    <w:rsid w:val="00673E23"/>
    <w:rsid w:val="00676C88"/>
    <w:rsid w:val="0068176B"/>
    <w:rsid w:val="00681C61"/>
    <w:rsid w:val="00686F86"/>
    <w:rsid w:val="006906E2"/>
    <w:rsid w:val="006A3248"/>
    <w:rsid w:val="006B39D9"/>
    <w:rsid w:val="006B58D3"/>
    <w:rsid w:val="006B69EA"/>
    <w:rsid w:val="006C3FE9"/>
    <w:rsid w:val="006C6806"/>
    <w:rsid w:val="006E05C7"/>
    <w:rsid w:val="006E5C61"/>
    <w:rsid w:val="006E7AB1"/>
    <w:rsid w:val="006F1DA3"/>
    <w:rsid w:val="006F4DDD"/>
    <w:rsid w:val="006F5853"/>
    <w:rsid w:val="00702EDE"/>
    <w:rsid w:val="00707775"/>
    <w:rsid w:val="0072230A"/>
    <w:rsid w:val="00733ED5"/>
    <w:rsid w:val="00742C9E"/>
    <w:rsid w:val="00752B7E"/>
    <w:rsid w:val="0076003D"/>
    <w:rsid w:val="007616BB"/>
    <w:rsid w:val="00761A3B"/>
    <w:rsid w:val="0077153F"/>
    <w:rsid w:val="00793DD7"/>
    <w:rsid w:val="0079512C"/>
    <w:rsid w:val="007A02D6"/>
    <w:rsid w:val="007A35B7"/>
    <w:rsid w:val="007A4E95"/>
    <w:rsid w:val="007A4FC1"/>
    <w:rsid w:val="007A6AF8"/>
    <w:rsid w:val="007B62D5"/>
    <w:rsid w:val="007C1098"/>
    <w:rsid w:val="007C43A9"/>
    <w:rsid w:val="007F4635"/>
    <w:rsid w:val="00800098"/>
    <w:rsid w:val="00802A12"/>
    <w:rsid w:val="00806F66"/>
    <w:rsid w:val="0081563F"/>
    <w:rsid w:val="00816F9D"/>
    <w:rsid w:val="00823B25"/>
    <w:rsid w:val="00826C29"/>
    <w:rsid w:val="00832629"/>
    <w:rsid w:val="00842FC6"/>
    <w:rsid w:val="00843CE6"/>
    <w:rsid w:val="00846BB9"/>
    <w:rsid w:val="00852F9E"/>
    <w:rsid w:val="00860DB0"/>
    <w:rsid w:val="0087032F"/>
    <w:rsid w:val="00873E3A"/>
    <w:rsid w:val="0087587C"/>
    <w:rsid w:val="00882C11"/>
    <w:rsid w:val="0088742B"/>
    <w:rsid w:val="0089406B"/>
    <w:rsid w:val="008952F2"/>
    <w:rsid w:val="008A6145"/>
    <w:rsid w:val="008A6D0F"/>
    <w:rsid w:val="008B350F"/>
    <w:rsid w:val="008B4B41"/>
    <w:rsid w:val="008C3E22"/>
    <w:rsid w:val="008C7D24"/>
    <w:rsid w:val="008D2B9C"/>
    <w:rsid w:val="008D7B9A"/>
    <w:rsid w:val="008E20FA"/>
    <w:rsid w:val="008E6B68"/>
    <w:rsid w:val="008F533E"/>
    <w:rsid w:val="008F6C30"/>
    <w:rsid w:val="009040EC"/>
    <w:rsid w:val="00904C37"/>
    <w:rsid w:val="00905007"/>
    <w:rsid w:val="00906166"/>
    <w:rsid w:val="00913E8A"/>
    <w:rsid w:val="00921B36"/>
    <w:rsid w:val="009225E1"/>
    <w:rsid w:val="0092501B"/>
    <w:rsid w:val="0093746C"/>
    <w:rsid w:val="00944A33"/>
    <w:rsid w:val="00950E6B"/>
    <w:rsid w:val="009575CF"/>
    <w:rsid w:val="00962238"/>
    <w:rsid w:val="00972B7D"/>
    <w:rsid w:val="0097386D"/>
    <w:rsid w:val="009739DF"/>
    <w:rsid w:val="00982E84"/>
    <w:rsid w:val="009A3068"/>
    <w:rsid w:val="009A3F41"/>
    <w:rsid w:val="009B1667"/>
    <w:rsid w:val="009B3E5E"/>
    <w:rsid w:val="009B4B14"/>
    <w:rsid w:val="009B66DE"/>
    <w:rsid w:val="009C4A8E"/>
    <w:rsid w:val="009C5D68"/>
    <w:rsid w:val="009C6A73"/>
    <w:rsid w:val="009D4841"/>
    <w:rsid w:val="009E3375"/>
    <w:rsid w:val="009E3698"/>
    <w:rsid w:val="009E4008"/>
    <w:rsid w:val="009F4867"/>
    <w:rsid w:val="009F7C58"/>
    <w:rsid w:val="00A13506"/>
    <w:rsid w:val="00A21193"/>
    <w:rsid w:val="00A30E93"/>
    <w:rsid w:val="00A31701"/>
    <w:rsid w:val="00A37A60"/>
    <w:rsid w:val="00A408F3"/>
    <w:rsid w:val="00A4549E"/>
    <w:rsid w:val="00A50D96"/>
    <w:rsid w:val="00A515A8"/>
    <w:rsid w:val="00A53763"/>
    <w:rsid w:val="00A57116"/>
    <w:rsid w:val="00A604A2"/>
    <w:rsid w:val="00A62140"/>
    <w:rsid w:val="00A701ED"/>
    <w:rsid w:val="00A7186B"/>
    <w:rsid w:val="00A772E0"/>
    <w:rsid w:val="00A81622"/>
    <w:rsid w:val="00A91F67"/>
    <w:rsid w:val="00A93113"/>
    <w:rsid w:val="00A9392B"/>
    <w:rsid w:val="00AA36C5"/>
    <w:rsid w:val="00AB3414"/>
    <w:rsid w:val="00AB6EF0"/>
    <w:rsid w:val="00AC11E2"/>
    <w:rsid w:val="00AC5DBE"/>
    <w:rsid w:val="00AC6D09"/>
    <w:rsid w:val="00AE0211"/>
    <w:rsid w:val="00AE2FDB"/>
    <w:rsid w:val="00AF0F98"/>
    <w:rsid w:val="00B0310A"/>
    <w:rsid w:val="00B04843"/>
    <w:rsid w:val="00B04C0F"/>
    <w:rsid w:val="00B07F22"/>
    <w:rsid w:val="00B131B7"/>
    <w:rsid w:val="00B14028"/>
    <w:rsid w:val="00B1641C"/>
    <w:rsid w:val="00B220BD"/>
    <w:rsid w:val="00B24C58"/>
    <w:rsid w:val="00B27480"/>
    <w:rsid w:val="00B3717B"/>
    <w:rsid w:val="00B372F0"/>
    <w:rsid w:val="00B428B1"/>
    <w:rsid w:val="00B47FE0"/>
    <w:rsid w:val="00B52A4F"/>
    <w:rsid w:val="00B5505F"/>
    <w:rsid w:val="00B66D0A"/>
    <w:rsid w:val="00B720DF"/>
    <w:rsid w:val="00B73C83"/>
    <w:rsid w:val="00B748FC"/>
    <w:rsid w:val="00B7627C"/>
    <w:rsid w:val="00B775F7"/>
    <w:rsid w:val="00B80204"/>
    <w:rsid w:val="00B8613F"/>
    <w:rsid w:val="00B94A10"/>
    <w:rsid w:val="00BA73DF"/>
    <w:rsid w:val="00BB4BA7"/>
    <w:rsid w:val="00BB50AF"/>
    <w:rsid w:val="00BC3369"/>
    <w:rsid w:val="00BC3C88"/>
    <w:rsid w:val="00BC50DC"/>
    <w:rsid w:val="00BE0FCA"/>
    <w:rsid w:val="00BE54FB"/>
    <w:rsid w:val="00BE6040"/>
    <w:rsid w:val="00BE7747"/>
    <w:rsid w:val="00BE7E31"/>
    <w:rsid w:val="00C13B82"/>
    <w:rsid w:val="00C16A4F"/>
    <w:rsid w:val="00C212AF"/>
    <w:rsid w:val="00C23D6B"/>
    <w:rsid w:val="00C31D2B"/>
    <w:rsid w:val="00C37340"/>
    <w:rsid w:val="00C509C5"/>
    <w:rsid w:val="00C53EFC"/>
    <w:rsid w:val="00C55CE0"/>
    <w:rsid w:val="00C618C7"/>
    <w:rsid w:val="00C67ADC"/>
    <w:rsid w:val="00C67F29"/>
    <w:rsid w:val="00C70A3A"/>
    <w:rsid w:val="00C70C1B"/>
    <w:rsid w:val="00C71DAB"/>
    <w:rsid w:val="00C76295"/>
    <w:rsid w:val="00C826D5"/>
    <w:rsid w:val="00C92B2D"/>
    <w:rsid w:val="00C94E38"/>
    <w:rsid w:val="00CA3A70"/>
    <w:rsid w:val="00CA764A"/>
    <w:rsid w:val="00CB7769"/>
    <w:rsid w:val="00CB7EC6"/>
    <w:rsid w:val="00CC3704"/>
    <w:rsid w:val="00CC605D"/>
    <w:rsid w:val="00CD0326"/>
    <w:rsid w:val="00CE73F0"/>
    <w:rsid w:val="00CE7C38"/>
    <w:rsid w:val="00CF273F"/>
    <w:rsid w:val="00CF30AD"/>
    <w:rsid w:val="00CF58BA"/>
    <w:rsid w:val="00CF6D5F"/>
    <w:rsid w:val="00D054E4"/>
    <w:rsid w:val="00D0700B"/>
    <w:rsid w:val="00D11BBB"/>
    <w:rsid w:val="00D14EB1"/>
    <w:rsid w:val="00D150FE"/>
    <w:rsid w:val="00D154C7"/>
    <w:rsid w:val="00D27ACE"/>
    <w:rsid w:val="00D43FC3"/>
    <w:rsid w:val="00D44941"/>
    <w:rsid w:val="00D46073"/>
    <w:rsid w:val="00D52D45"/>
    <w:rsid w:val="00D563DF"/>
    <w:rsid w:val="00D57081"/>
    <w:rsid w:val="00D57963"/>
    <w:rsid w:val="00D6319F"/>
    <w:rsid w:val="00D73979"/>
    <w:rsid w:val="00D85CAB"/>
    <w:rsid w:val="00D901CB"/>
    <w:rsid w:val="00D91A20"/>
    <w:rsid w:val="00D95729"/>
    <w:rsid w:val="00DA04D8"/>
    <w:rsid w:val="00DA3320"/>
    <w:rsid w:val="00DA780B"/>
    <w:rsid w:val="00DB28AF"/>
    <w:rsid w:val="00DB2BC0"/>
    <w:rsid w:val="00DB735E"/>
    <w:rsid w:val="00DC1C2E"/>
    <w:rsid w:val="00DC45F8"/>
    <w:rsid w:val="00DD5093"/>
    <w:rsid w:val="00DD7967"/>
    <w:rsid w:val="00DF0517"/>
    <w:rsid w:val="00E1431F"/>
    <w:rsid w:val="00E165BA"/>
    <w:rsid w:val="00E22E57"/>
    <w:rsid w:val="00E236FF"/>
    <w:rsid w:val="00E2564F"/>
    <w:rsid w:val="00E31A79"/>
    <w:rsid w:val="00E31CCB"/>
    <w:rsid w:val="00E36523"/>
    <w:rsid w:val="00E37B9B"/>
    <w:rsid w:val="00E5152D"/>
    <w:rsid w:val="00E529CD"/>
    <w:rsid w:val="00E543A2"/>
    <w:rsid w:val="00E667A2"/>
    <w:rsid w:val="00E735F0"/>
    <w:rsid w:val="00E73A0C"/>
    <w:rsid w:val="00E75974"/>
    <w:rsid w:val="00E81AD2"/>
    <w:rsid w:val="00E919BF"/>
    <w:rsid w:val="00E96590"/>
    <w:rsid w:val="00EA6274"/>
    <w:rsid w:val="00EA63B7"/>
    <w:rsid w:val="00EB1268"/>
    <w:rsid w:val="00EB1F4A"/>
    <w:rsid w:val="00EB42B1"/>
    <w:rsid w:val="00EB5CD5"/>
    <w:rsid w:val="00EB6939"/>
    <w:rsid w:val="00EB6B0D"/>
    <w:rsid w:val="00EC1E6D"/>
    <w:rsid w:val="00EC5939"/>
    <w:rsid w:val="00ED23F6"/>
    <w:rsid w:val="00ED2988"/>
    <w:rsid w:val="00ED54C9"/>
    <w:rsid w:val="00ED5869"/>
    <w:rsid w:val="00EE0026"/>
    <w:rsid w:val="00EE2332"/>
    <w:rsid w:val="00EF1EE7"/>
    <w:rsid w:val="00EF39EB"/>
    <w:rsid w:val="00EF7518"/>
    <w:rsid w:val="00F00429"/>
    <w:rsid w:val="00F0110F"/>
    <w:rsid w:val="00F03373"/>
    <w:rsid w:val="00F07626"/>
    <w:rsid w:val="00F149A1"/>
    <w:rsid w:val="00F202AE"/>
    <w:rsid w:val="00F21D59"/>
    <w:rsid w:val="00F326F5"/>
    <w:rsid w:val="00F4176C"/>
    <w:rsid w:val="00F43AD4"/>
    <w:rsid w:val="00F54B4E"/>
    <w:rsid w:val="00F61448"/>
    <w:rsid w:val="00F63746"/>
    <w:rsid w:val="00F67E66"/>
    <w:rsid w:val="00F70D80"/>
    <w:rsid w:val="00F75A4D"/>
    <w:rsid w:val="00F765A4"/>
    <w:rsid w:val="00F833D7"/>
    <w:rsid w:val="00F9212F"/>
    <w:rsid w:val="00F940A1"/>
    <w:rsid w:val="00F977C7"/>
    <w:rsid w:val="00FA2658"/>
    <w:rsid w:val="00FB1F7C"/>
    <w:rsid w:val="00FB2C33"/>
    <w:rsid w:val="00FB6ED5"/>
    <w:rsid w:val="00FC0E91"/>
    <w:rsid w:val="00FC2E54"/>
    <w:rsid w:val="00FC4E16"/>
    <w:rsid w:val="00FC5DA0"/>
    <w:rsid w:val="00FC7941"/>
    <w:rsid w:val="00FD02E0"/>
    <w:rsid w:val="00FD6312"/>
    <w:rsid w:val="00FE0D40"/>
    <w:rsid w:val="00FE7EAF"/>
    <w:rsid w:val="00FF3DE0"/>
    <w:rsid w:val="00FF54B0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2FEBA"/>
  <w15:chartTrackingRefBased/>
  <w15:docId w15:val="{97860F4A-1F1E-476E-8594-D8543CAE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9B2"/>
    <w:pPr>
      <w:spacing w:line="259" w:lineRule="auto"/>
    </w:pPr>
    <w:rPr>
      <w:rFonts w:asciiTheme="majorHAnsi" w:hAnsiTheme="majorHAnsi" w:cs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9B2"/>
    <w:pPr>
      <w:keepNext/>
      <w:keepLines/>
      <w:spacing w:before="360" w:after="80" w:line="278" w:lineRule="auto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9B2"/>
    <w:pPr>
      <w:keepNext/>
      <w:keepLines/>
      <w:spacing w:before="160" w:after="80" w:line="278" w:lineRule="auto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9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9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9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9B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9B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9B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9B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9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9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9B2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9B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9B2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9B2"/>
    <w:pPr>
      <w:spacing w:line="278" w:lineRule="auto"/>
      <w:ind w:left="720"/>
      <w:contextualSpacing/>
    </w:pPr>
    <w:rPr>
      <w:rFonts w:ascii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5409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9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9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0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9B2"/>
    <w:rPr>
      <w:rFonts w:asciiTheme="majorHAnsi" w:hAnsiTheme="majorHAnsi" w:cstheme="majorHAnsi"/>
    </w:rPr>
  </w:style>
  <w:style w:type="paragraph" w:styleId="Footer">
    <w:name w:val="footer"/>
    <w:basedOn w:val="Normal"/>
    <w:link w:val="FooterChar"/>
    <w:uiPriority w:val="99"/>
    <w:unhideWhenUsed/>
    <w:rsid w:val="00540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9B2"/>
    <w:rPr>
      <w:rFonts w:asciiTheme="majorHAnsi" w:hAnsiTheme="majorHAnsi" w:cstheme="maj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0E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E93"/>
    <w:rPr>
      <w:rFonts w:asciiTheme="majorHAnsi" w:hAnsiTheme="majorHAnsi" w:cstheme="maj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0E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31D92-19B9-496E-97C0-5D1087653B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9c742c4-e61c-4fa5-be89-a3cb566a80d1}" enabled="0" method="" siteId="{79c742c4-e61c-4fa5-be89-a3cb566a8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3</Pages>
  <Words>760</Words>
  <Characters>5261</Characters>
  <Application>Microsoft Office Word</Application>
  <DocSecurity>0</DocSecurity>
  <Lines>202</Lines>
  <Paragraphs>194</Paragraphs>
  <ScaleCrop>false</ScaleCrop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Circo</dc:creator>
  <cp:keywords/>
  <dc:description/>
  <cp:lastModifiedBy>carl circo</cp:lastModifiedBy>
  <cp:revision>188</cp:revision>
  <dcterms:created xsi:type="dcterms:W3CDTF">2026-05-17T12:11:00Z</dcterms:created>
  <dcterms:modified xsi:type="dcterms:W3CDTF">2026-05-20T11:25:00Z</dcterms:modified>
</cp:coreProperties>
</file>