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BBD0" w14:textId="77777777" w:rsidR="00D54FB4" w:rsidRPr="00007A09" w:rsidRDefault="00D54FB4" w:rsidP="00D54FB4">
      <w:pPr>
        <w:rPr>
          <w:rFonts w:ascii="Times New Roman" w:hAnsi="Times New Roman" w:cs="Times New Roman"/>
          <w:b/>
          <w:bCs/>
        </w:rPr>
      </w:pPr>
      <w:r w:rsidRPr="00007A09">
        <w:rPr>
          <w:rFonts w:ascii="Times New Roman" w:hAnsi="Times New Roman" w:cs="Times New Roman"/>
          <w:b/>
          <w:bCs/>
        </w:rPr>
        <w:t>Construction and Design Law: Managing the Network of Interdependent Relationships</w:t>
      </w:r>
    </w:p>
    <w:p w14:paraId="19F6CAF8" w14:textId="77777777" w:rsidR="00D54FB4" w:rsidRPr="00007A09" w:rsidRDefault="00D54FB4" w:rsidP="00D54FB4">
      <w:pPr>
        <w:jc w:val="center"/>
        <w:rPr>
          <w:rFonts w:ascii="Times New Roman" w:hAnsi="Times New Roman" w:cs="Times New Roman"/>
        </w:rPr>
      </w:pPr>
      <w:r w:rsidRPr="00007A09">
        <w:rPr>
          <w:rFonts w:ascii="Times New Roman" w:hAnsi="Times New Roman" w:cs="Times New Roman"/>
        </w:rPr>
        <w:t>Carl J. Circo</w:t>
      </w:r>
    </w:p>
    <w:p w14:paraId="2BD54C9C" w14:textId="77777777" w:rsidR="00D54FB4" w:rsidRPr="00007A09" w:rsidRDefault="00D54FB4" w:rsidP="00D54FB4">
      <w:pPr>
        <w:jc w:val="center"/>
        <w:rPr>
          <w:rFonts w:ascii="Times New Roman" w:hAnsi="Times New Roman" w:cs="Times New Roman"/>
          <w:b/>
          <w:bCs/>
        </w:rPr>
      </w:pPr>
      <w:r w:rsidRPr="00007A09">
        <w:rPr>
          <w:rFonts w:ascii="Times New Roman" w:hAnsi="Times New Roman" w:cs="Times New Roman"/>
          <w:b/>
          <w:bCs/>
        </w:rPr>
        <w:t>Part 3</w:t>
      </w:r>
    </w:p>
    <w:p w14:paraId="30E8BF36" w14:textId="36E0E924" w:rsidR="00D54FB4" w:rsidRPr="00007A09" w:rsidRDefault="00D54FB4" w:rsidP="00D54FB4">
      <w:pPr>
        <w:keepNext/>
        <w:jc w:val="center"/>
        <w:rPr>
          <w:rFonts w:ascii="Times New Roman" w:hAnsi="Times New Roman" w:cs="Times New Roman"/>
          <w:b/>
          <w:bCs/>
        </w:rPr>
      </w:pPr>
      <w:r w:rsidRPr="00007A09">
        <w:rPr>
          <w:rFonts w:ascii="Times New Roman" w:hAnsi="Times New Roman" w:cs="Times New Roman"/>
          <w:b/>
          <w:bCs/>
        </w:rPr>
        <w:t>Lesson 23: Regulatory Matters</w:t>
      </w:r>
    </w:p>
    <w:p w14:paraId="65532365" w14:textId="115908A0" w:rsidR="00013ED5" w:rsidRDefault="00D54FB4" w:rsidP="00D54FB4">
      <w:pPr>
        <w:rPr>
          <w:rFonts w:ascii="Times New Roman" w:hAnsi="Times New Roman" w:cs="Times New Roman"/>
        </w:rPr>
      </w:pPr>
      <w:r w:rsidRPr="00007A09">
        <w:rPr>
          <w:rFonts w:ascii="Times New Roman" w:hAnsi="Times New Roman" w:cs="Times New Roman"/>
        </w:rPr>
        <w:tab/>
        <w:t>Chapter 16 of the Bruner and O’Connor treatise, available on Westlaw, addresses governmental regulation of construction in considerable detail. Section 16:1 can serve as a sufficient reading assignment for instructors who simply wish to cover regulation at a general level. As stated in that section, federal, state, and local governments seek “to protect the public against construction hazards by imposing upon the construction industry a mosaic of related laws and regulations: (1) licensing of design professionals, (2) licensing of construction professionals and some members of the building trades, (3) regulation of on-site construction practices, (4) regulation of workers' compensation insurance programs, and (5) regulation of design and construction standards through building code requirements and their permitting processes that assure that major structures are designed only by licensed professionals, built only by licensed contractors and construction professionals, designed pursuant to minimum design standards and constructed in conformance with those standards</w:t>
      </w:r>
      <w:r w:rsidR="00E03339">
        <w:rPr>
          <w:rFonts w:ascii="Times New Roman" w:hAnsi="Times New Roman" w:cs="Times New Roman"/>
        </w:rPr>
        <w:t>.</w:t>
      </w:r>
      <w:r w:rsidR="00E32CEF">
        <w:rPr>
          <w:rFonts w:ascii="Times New Roman" w:hAnsi="Times New Roman" w:cs="Times New Roman"/>
        </w:rPr>
        <w:t>”</w:t>
      </w:r>
      <w:r w:rsidRPr="00007A09">
        <w:rPr>
          <w:rFonts w:ascii="Times New Roman" w:hAnsi="Times New Roman" w:cs="Times New Roman"/>
          <w:vertAlign w:val="superscript"/>
        </w:rPr>
        <w:t xml:space="preserve"> </w:t>
      </w:r>
      <w:r w:rsidR="004E08EA" w:rsidRPr="004E08EA">
        <w:rPr>
          <w:rFonts w:ascii="Times New Roman" w:hAnsi="Times New Roman" w:cs="Times New Roman"/>
        </w:rPr>
        <w:t xml:space="preserve">Phillip L. Bruner &amp; Patrick J. O’Connor, Jr., </w:t>
      </w:r>
      <w:r w:rsidR="00754EB4">
        <w:rPr>
          <w:rFonts w:ascii="Times New Roman" w:hAnsi="Times New Roman" w:cs="Times New Roman"/>
        </w:rPr>
        <w:t>6</w:t>
      </w:r>
      <w:r w:rsidR="004E08EA" w:rsidRPr="004E08EA">
        <w:rPr>
          <w:rFonts w:ascii="Times New Roman" w:hAnsi="Times New Roman" w:cs="Times New Roman"/>
        </w:rPr>
        <w:t xml:space="preserve"> </w:t>
      </w:r>
      <w:r w:rsidR="004E08EA" w:rsidRPr="004E08EA">
        <w:rPr>
          <w:rFonts w:ascii="Times New Roman" w:hAnsi="Times New Roman" w:cs="Times New Roman"/>
          <w:i/>
          <w:iCs/>
        </w:rPr>
        <w:t>Bruner &amp; O’Connor on Construction Law</w:t>
      </w:r>
      <w:r w:rsidR="004E08EA" w:rsidRPr="004E08EA">
        <w:rPr>
          <w:rFonts w:ascii="Times New Roman" w:hAnsi="Times New Roman" w:cs="Times New Roman"/>
        </w:rPr>
        <w:t xml:space="preserve">, </w:t>
      </w:r>
      <w:r w:rsidR="00F13AF8" w:rsidRPr="00F13AF8">
        <w:rPr>
          <w:rFonts w:ascii="Times New Roman" w:hAnsi="Times New Roman" w:cs="Times New Roman"/>
        </w:rPr>
        <w:t>§</w:t>
      </w:r>
      <w:r w:rsidR="007D4CF4">
        <w:rPr>
          <w:rFonts w:ascii="Times New Roman" w:hAnsi="Times New Roman" w:cs="Times New Roman"/>
        </w:rPr>
        <w:t>16:1</w:t>
      </w:r>
      <w:r w:rsidR="004E08EA" w:rsidRPr="004E08EA">
        <w:rPr>
          <w:rFonts w:ascii="Times New Roman" w:hAnsi="Times New Roman" w:cs="Times New Roman"/>
        </w:rPr>
        <w:t xml:space="preserve"> (Westlaw Jan. 2026)</w:t>
      </w:r>
      <w:r w:rsidR="007D4CF4">
        <w:rPr>
          <w:rFonts w:ascii="Times New Roman" w:hAnsi="Times New Roman" w:cs="Times New Roman"/>
        </w:rPr>
        <w:t xml:space="preserve"> </w:t>
      </w:r>
      <w:r w:rsidRPr="00007A09">
        <w:rPr>
          <w:rFonts w:ascii="Times New Roman" w:hAnsi="Times New Roman" w:cs="Times New Roman"/>
        </w:rPr>
        <w:t xml:space="preserve">(footnotes omitted). </w:t>
      </w:r>
    </w:p>
    <w:p w14:paraId="3D883A95" w14:textId="09DBBE53" w:rsidR="00D54FB4" w:rsidRDefault="00013ED5" w:rsidP="00D54FB4">
      <w:pPr>
        <w:rPr>
          <w:rFonts w:ascii="Times New Roman" w:hAnsi="Times New Roman" w:cs="Times New Roman"/>
        </w:rPr>
      </w:pPr>
      <w:r>
        <w:rPr>
          <w:rFonts w:ascii="Times New Roman" w:hAnsi="Times New Roman" w:cs="Times New Roman"/>
        </w:rPr>
        <w:tab/>
      </w:r>
      <w:r w:rsidR="009F3D01">
        <w:rPr>
          <w:rFonts w:ascii="Times New Roman" w:hAnsi="Times New Roman" w:cs="Times New Roman"/>
        </w:rPr>
        <w:t xml:space="preserve">For those who wish to </w:t>
      </w:r>
      <w:r w:rsidR="00B957EA">
        <w:rPr>
          <w:rFonts w:ascii="Times New Roman" w:hAnsi="Times New Roman" w:cs="Times New Roman"/>
        </w:rPr>
        <w:t>cover</w:t>
      </w:r>
      <w:r w:rsidR="009F3D01">
        <w:rPr>
          <w:rFonts w:ascii="Times New Roman" w:hAnsi="Times New Roman" w:cs="Times New Roman"/>
        </w:rPr>
        <w:t xml:space="preserve"> regulation</w:t>
      </w:r>
      <w:r w:rsidR="009D579C">
        <w:rPr>
          <w:rFonts w:ascii="Times New Roman" w:hAnsi="Times New Roman" w:cs="Times New Roman"/>
        </w:rPr>
        <w:t xml:space="preserve"> in somewhat greater detail, later sections of </w:t>
      </w:r>
      <w:r w:rsidR="009F3D01">
        <w:rPr>
          <w:rFonts w:ascii="Times New Roman" w:hAnsi="Times New Roman" w:cs="Times New Roman"/>
        </w:rPr>
        <w:t xml:space="preserve">Chapter 16 of the Bruner and O’Connor treatise </w:t>
      </w:r>
      <w:r w:rsidR="009D579C">
        <w:rPr>
          <w:rFonts w:ascii="Times New Roman" w:hAnsi="Times New Roman" w:cs="Times New Roman"/>
        </w:rPr>
        <w:t xml:space="preserve">address such details as </w:t>
      </w:r>
      <w:r w:rsidR="004E57F7">
        <w:rPr>
          <w:rFonts w:ascii="Times New Roman" w:hAnsi="Times New Roman" w:cs="Times New Roman"/>
        </w:rPr>
        <w:t>potential civil and criminal</w:t>
      </w:r>
      <w:r w:rsidR="003552A3">
        <w:rPr>
          <w:rFonts w:ascii="Times New Roman" w:hAnsi="Times New Roman" w:cs="Times New Roman"/>
        </w:rPr>
        <w:t xml:space="preserve"> </w:t>
      </w:r>
      <w:r w:rsidR="002D4D77">
        <w:rPr>
          <w:rFonts w:ascii="Times New Roman" w:hAnsi="Times New Roman" w:cs="Times New Roman"/>
        </w:rPr>
        <w:t>liability for</w:t>
      </w:r>
      <w:r w:rsidR="004E57F7">
        <w:rPr>
          <w:rFonts w:ascii="Times New Roman" w:hAnsi="Times New Roman" w:cs="Times New Roman"/>
        </w:rPr>
        <w:t xml:space="preserve"> failing to comply with building codes and licensing schemes</w:t>
      </w:r>
      <w:r w:rsidR="00196290">
        <w:rPr>
          <w:rFonts w:ascii="Times New Roman" w:hAnsi="Times New Roman" w:cs="Times New Roman"/>
        </w:rPr>
        <w:t xml:space="preserve"> (including the possibility that </w:t>
      </w:r>
      <w:r w:rsidR="00774918">
        <w:rPr>
          <w:rFonts w:ascii="Times New Roman" w:hAnsi="Times New Roman" w:cs="Times New Roman"/>
        </w:rPr>
        <w:t xml:space="preserve">an unlicensed </w:t>
      </w:r>
      <w:r w:rsidR="009B0BFF">
        <w:rPr>
          <w:rFonts w:ascii="Times New Roman" w:hAnsi="Times New Roman" w:cs="Times New Roman"/>
        </w:rPr>
        <w:t>person or firm may be barred from e</w:t>
      </w:r>
      <w:r w:rsidR="00BD13C2">
        <w:rPr>
          <w:rFonts w:ascii="Times New Roman" w:hAnsi="Times New Roman" w:cs="Times New Roman"/>
        </w:rPr>
        <w:t>nforcing</w:t>
      </w:r>
      <w:r w:rsidR="002F548F">
        <w:rPr>
          <w:rFonts w:ascii="Times New Roman" w:hAnsi="Times New Roman" w:cs="Times New Roman"/>
        </w:rPr>
        <w:t xml:space="preserve"> contractual remedies)</w:t>
      </w:r>
      <w:r w:rsidR="00151BAA">
        <w:rPr>
          <w:rFonts w:ascii="Times New Roman" w:hAnsi="Times New Roman" w:cs="Times New Roman"/>
        </w:rPr>
        <w:t xml:space="preserve">, details of </w:t>
      </w:r>
      <w:r w:rsidR="009A12C3">
        <w:rPr>
          <w:rFonts w:ascii="Times New Roman" w:hAnsi="Times New Roman" w:cs="Times New Roman"/>
        </w:rPr>
        <w:t>licensing schemes in different jurisdictions</w:t>
      </w:r>
      <w:r w:rsidR="00323793">
        <w:rPr>
          <w:rFonts w:ascii="Times New Roman" w:hAnsi="Times New Roman" w:cs="Times New Roman"/>
        </w:rPr>
        <w:t>, common exemptions from licensing requirements</w:t>
      </w:r>
      <w:r w:rsidR="007C03ED">
        <w:rPr>
          <w:rFonts w:ascii="Times New Roman" w:hAnsi="Times New Roman" w:cs="Times New Roman"/>
        </w:rPr>
        <w:t>,</w:t>
      </w:r>
      <w:r w:rsidR="004E57F7">
        <w:rPr>
          <w:rFonts w:ascii="Times New Roman" w:hAnsi="Times New Roman" w:cs="Times New Roman"/>
        </w:rPr>
        <w:t xml:space="preserve"> </w:t>
      </w:r>
      <w:r w:rsidR="0032321E">
        <w:rPr>
          <w:rFonts w:ascii="Times New Roman" w:hAnsi="Times New Roman" w:cs="Times New Roman"/>
        </w:rPr>
        <w:t xml:space="preserve">and </w:t>
      </w:r>
      <w:r w:rsidR="00257DB4">
        <w:rPr>
          <w:rFonts w:ascii="Times New Roman" w:hAnsi="Times New Roman" w:cs="Times New Roman"/>
        </w:rPr>
        <w:t>the roles</w:t>
      </w:r>
      <w:r w:rsidR="00385D9D">
        <w:rPr>
          <w:rFonts w:ascii="Times New Roman" w:hAnsi="Times New Roman" w:cs="Times New Roman"/>
        </w:rPr>
        <w:t xml:space="preserve"> and procedures</w:t>
      </w:r>
      <w:r w:rsidR="00257DB4">
        <w:rPr>
          <w:rFonts w:ascii="Times New Roman" w:hAnsi="Times New Roman" w:cs="Times New Roman"/>
        </w:rPr>
        <w:t xml:space="preserve"> of licensing boards and other administrative agencies.</w:t>
      </w:r>
      <w:r w:rsidR="0032321E">
        <w:rPr>
          <w:rFonts w:ascii="Times New Roman" w:hAnsi="Times New Roman" w:cs="Times New Roman"/>
        </w:rPr>
        <w:t xml:space="preserve"> </w:t>
      </w:r>
    </w:p>
    <w:p w14:paraId="2E3C4584" w14:textId="31E759AA" w:rsidR="00D54FB4" w:rsidRPr="00007A09" w:rsidRDefault="00D54FB4" w:rsidP="00D54FB4">
      <w:pPr>
        <w:rPr>
          <w:rFonts w:ascii="Times New Roman" w:hAnsi="Times New Roman" w:cs="Times New Roman"/>
        </w:rPr>
      </w:pPr>
      <w:r w:rsidRPr="00007A09">
        <w:rPr>
          <w:rFonts w:ascii="Times New Roman" w:hAnsi="Times New Roman" w:cs="Times New Roman"/>
        </w:rPr>
        <w:tab/>
        <w:t>In addition to the areas covered in Chapter 16 of the Bruner and O’Connor treatise, government regulation of building design and construction encompasses many</w:t>
      </w:r>
      <w:r w:rsidR="00D57C29">
        <w:rPr>
          <w:rFonts w:ascii="Times New Roman" w:hAnsi="Times New Roman" w:cs="Times New Roman"/>
        </w:rPr>
        <w:t xml:space="preserve"> other</w:t>
      </w:r>
      <w:r w:rsidRPr="00007A09">
        <w:rPr>
          <w:rFonts w:ascii="Times New Roman" w:hAnsi="Times New Roman" w:cs="Times New Roman"/>
        </w:rPr>
        <w:t xml:space="preserve"> </w:t>
      </w:r>
      <w:r w:rsidR="00AB359C">
        <w:rPr>
          <w:rFonts w:ascii="Times New Roman" w:hAnsi="Times New Roman" w:cs="Times New Roman"/>
        </w:rPr>
        <w:t>topics</w:t>
      </w:r>
      <w:r w:rsidR="00D37C27">
        <w:rPr>
          <w:rFonts w:ascii="Times New Roman" w:hAnsi="Times New Roman" w:cs="Times New Roman"/>
        </w:rPr>
        <w:t xml:space="preserve">, </w:t>
      </w:r>
      <w:r w:rsidR="00D57C29">
        <w:rPr>
          <w:rFonts w:ascii="Times New Roman" w:hAnsi="Times New Roman" w:cs="Times New Roman"/>
        </w:rPr>
        <w:t>including</w:t>
      </w:r>
      <w:r w:rsidRPr="00007A09">
        <w:rPr>
          <w:rFonts w:ascii="Times New Roman" w:hAnsi="Times New Roman" w:cs="Times New Roman"/>
        </w:rPr>
        <w:t>:</w:t>
      </w:r>
    </w:p>
    <w:p w14:paraId="008086E2" w14:textId="4C07D88B" w:rsidR="00A50E69" w:rsidRDefault="00A50E69" w:rsidP="00D54FB4">
      <w:pPr>
        <w:pStyle w:val="ListParagraph"/>
        <w:numPr>
          <w:ilvl w:val="0"/>
          <w:numId w:val="1"/>
        </w:numPr>
        <w:rPr>
          <w:rFonts w:ascii="Times New Roman" w:hAnsi="Times New Roman" w:cs="Times New Roman"/>
        </w:rPr>
      </w:pPr>
      <w:r>
        <w:rPr>
          <w:rFonts w:ascii="Times New Roman" w:hAnsi="Times New Roman" w:cs="Times New Roman"/>
        </w:rPr>
        <w:t xml:space="preserve">Zoning and land use </w:t>
      </w:r>
      <w:r w:rsidR="00337F30">
        <w:rPr>
          <w:rFonts w:ascii="Times New Roman" w:hAnsi="Times New Roman" w:cs="Times New Roman"/>
        </w:rPr>
        <w:t>planning</w:t>
      </w:r>
      <w:r>
        <w:rPr>
          <w:rFonts w:ascii="Times New Roman" w:hAnsi="Times New Roman" w:cs="Times New Roman"/>
        </w:rPr>
        <w:t>;</w:t>
      </w:r>
    </w:p>
    <w:p w14:paraId="59439532" w14:textId="75F9856C" w:rsidR="00D54FB4" w:rsidRDefault="00D54FB4" w:rsidP="00D54FB4">
      <w:pPr>
        <w:pStyle w:val="ListParagraph"/>
        <w:numPr>
          <w:ilvl w:val="0"/>
          <w:numId w:val="1"/>
        </w:numPr>
        <w:rPr>
          <w:rFonts w:ascii="Times New Roman" w:hAnsi="Times New Roman" w:cs="Times New Roman"/>
        </w:rPr>
      </w:pPr>
      <w:r w:rsidRPr="00007A09">
        <w:rPr>
          <w:rFonts w:ascii="Times New Roman" w:hAnsi="Times New Roman" w:cs="Times New Roman"/>
        </w:rPr>
        <w:t>Local permitting requirements concerning on-site safety and compliance inspection procedures, including processes governing the issuance of certificates of occupancy</w:t>
      </w:r>
      <w:r w:rsidR="00B033D8">
        <w:rPr>
          <w:rFonts w:ascii="Times New Roman" w:hAnsi="Times New Roman" w:cs="Times New Roman"/>
        </w:rPr>
        <w:t>;</w:t>
      </w:r>
    </w:p>
    <w:p w14:paraId="24CF08CD" w14:textId="3AACE867" w:rsidR="00173943" w:rsidRDefault="002015F4" w:rsidP="00D54FB4">
      <w:pPr>
        <w:pStyle w:val="ListParagraph"/>
        <w:numPr>
          <w:ilvl w:val="0"/>
          <w:numId w:val="1"/>
        </w:numPr>
        <w:rPr>
          <w:rFonts w:ascii="Times New Roman" w:hAnsi="Times New Roman" w:cs="Times New Roman"/>
        </w:rPr>
      </w:pPr>
      <w:r>
        <w:rPr>
          <w:rFonts w:ascii="Times New Roman" w:hAnsi="Times New Roman" w:cs="Times New Roman"/>
        </w:rPr>
        <w:t>Requirements governing public projects</w:t>
      </w:r>
      <w:r w:rsidR="00F67FA9">
        <w:rPr>
          <w:rFonts w:ascii="Times New Roman" w:hAnsi="Times New Roman" w:cs="Times New Roman"/>
        </w:rPr>
        <w:t>;</w:t>
      </w:r>
    </w:p>
    <w:p w14:paraId="75926DDA" w14:textId="770DAABE" w:rsidR="00B033D8" w:rsidRDefault="00F96457" w:rsidP="00D54FB4">
      <w:pPr>
        <w:pStyle w:val="ListParagraph"/>
        <w:numPr>
          <w:ilvl w:val="0"/>
          <w:numId w:val="1"/>
        </w:numPr>
        <w:rPr>
          <w:rFonts w:ascii="Times New Roman" w:hAnsi="Times New Roman" w:cs="Times New Roman"/>
        </w:rPr>
      </w:pPr>
      <w:r>
        <w:rPr>
          <w:rFonts w:ascii="Times New Roman" w:hAnsi="Times New Roman" w:cs="Times New Roman"/>
        </w:rPr>
        <w:t>Worker safety;</w:t>
      </w:r>
    </w:p>
    <w:p w14:paraId="07F70AC8" w14:textId="618B6CD8" w:rsidR="00F96457" w:rsidRPr="00007A09" w:rsidRDefault="00F96457" w:rsidP="00D54FB4">
      <w:pPr>
        <w:pStyle w:val="ListParagraph"/>
        <w:numPr>
          <w:ilvl w:val="0"/>
          <w:numId w:val="1"/>
        </w:numPr>
        <w:rPr>
          <w:rFonts w:ascii="Times New Roman" w:hAnsi="Times New Roman" w:cs="Times New Roman"/>
        </w:rPr>
      </w:pPr>
      <w:r>
        <w:rPr>
          <w:rFonts w:ascii="Times New Roman" w:hAnsi="Times New Roman" w:cs="Times New Roman"/>
        </w:rPr>
        <w:t>Labor and employment practices</w:t>
      </w:r>
      <w:r w:rsidR="00C108B3">
        <w:rPr>
          <w:rFonts w:ascii="Times New Roman" w:hAnsi="Times New Roman" w:cs="Times New Roman"/>
        </w:rPr>
        <w:t>;</w:t>
      </w:r>
    </w:p>
    <w:p w14:paraId="10BF7A81" w14:textId="7620ECBF" w:rsidR="00D54FB4" w:rsidRPr="00007A09" w:rsidRDefault="00D54FB4" w:rsidP="00D54FB4">
      <w:pPr>
        <w:pStyle w:val="ListParagraph"/>
        <w:numPr>
          <w:ilvl w:val="0"/>
          <w:numId w:val="1"/>
        </w:numPr>
        <w:rPr>
          <w:rFonts w:ascii="Times New Roman" w:hAnsi="Times New Roman" w:cs="Times New Roman"/>
        </w:rPr>
      </w:pPr>
      <w:r w:rsidRPr="00007A09">
        <w:rPr>
          <w:rFonts w:ascii="Times New Roman" w:hAnsi="Times New Roman" w:cs="Times New Roman"/>
        </w:rPr>
        <w:t xml:space="preserve">Environmental </w:t>
      </w:r>
      <w:r w:rsidR="00B033D8">
        <w:rPr>
          <w:rFonts w:ascii="Times New Roman" w:hAnsi="Times New Roman" w:cs="Times New Roman"/>
        </w:rPr>
        <w:t>standards</w:t>
      </w:r>
      <w:r w:rsidRPr="00007A09">
        <w:rPr>
          <w:rFonts w:ascii="Times New Roman" w:hAnsi="Times New Roman" w:cs="Times New Roman"/>
        </w:rPr>
        <w:t>, including those relating to stormwater discharge, wetlands and waterway, air quality, and hazardous materials</w:t>
      </w:r>
      <w:r w:rsidR="00B033D8">
        <w:rPr>
          <w:rFonts w:ascii="Times New Roman" w:hAnsi="Times New Roman" w:cs="Times New Roman"/>
        </w:rPr>
        <w:t>;</w:t>
      </w:r>
    </w:p>
    <w:p w14:paraId="1CCB6A73" w14:textId="45C12655" w:rsidR="00D54FB4" w:rsidRPr="00007A09" w:rsidRDefault="00D54FB4" w:rsidP="00D54FB4">
      <w:pPr>
        <w:pStyle w:val="ListParagraph"/>
        <w:numPr>
          <w:ilvl w:val="0"/>
          <w:numId w:val="1"/>
        </w:numPr>
        <w:rPr>
          <w:rFonts w:ascii="Times New Roman" w:hAnsi="Times New Roman" w:cs="Times New Roman"/>
        </w:rPr>
      </w:pPr>
      <w:r w:rsidRPr="00007A09">
        <w:rPr>
          <w:rFonts w:ascii="Times New Roman" w:hAnsi="Times New Roman" w:cs="Times New Roman"/>
        </w:rPr>
        <w:t>Protections for cultural and historic sites</w:t>
      </w:r>
      <w:r w:rsidR="00B033D8">
        <w:rPr>
          <w:rFonts w:ascii="Times New Roman" w:hAnsi="Times New Roman" w:cs="Times New Roman"/>
        </w:rPr>
        <w:t>;</w:t>
      </w:r>
    </w:p>
    <w:p w14:paraId="42BF9179" w14:textId="7C429967" w:rsidR="00D54FB4" w:rsidRDefault="00D54FB4" w:rsidP="00D54FB4">
      <w:pPr>
        <w:pStyle w:val="ListParagraph"/>
        <w:numPr>
          <w:ilvl w:val="0"/>
          <w:numId w:val="1"/>
        </w:numPr>
        <w:rPr>
          <w:rFonts w:ascii="Times New Roman" w:hAnsi="Times New Roman" w:cs="Times New Roman"/>
        </w:rPr>
      </w:pPr>
      <w:r w:rsidRPr="00007A09">
        <w:rPr>
          <w:rFonts w:ascii="Times New Roman" w:hAnsi="Times New Roman" w:cs="Times New Roman"/>
        </w:rPr>
        <w:t>Accessible design requirements for the benefit of persons with disabilities</w:t>
      </w:r>
      <w:r w:rsidR="00A50E69">
        <w:rPr>
          <w:rFonts w:ascii="Times New Roman" w:hAnsi="Times New Roman" w:cs="Times New Roman"/>
        </w:rPr>
        <w:t>; and</w:t>
      </w:r>
    </w:p>
    <w:p w14:paraId="0DA28B6A" w14:textId="2C4E32F8" w:rsidR="00A50E69" w:rsidRPr="00007A09" w:rsidRDefault="00A50E69" w:rsidP="00D54FB4">
      <w:pPr>
        <w:pStyle w:val="ListParagraph"/>
        <w:numPr>
          <w:ilvl w:val="0"/>
          <w:numId w:val="1"/>
        </w:numPr>
        <w:rPr>
          <w:rFonts w:ascii="Times New Roman" w:hAnsi="Times New Roman" w:cs="Times New Roman"/>
        </w:rPr>
      </w:pPr>
      <w:r>
        <w:rPr>
          <w:rFonts w:ascii="Times New Roman" w:hAnsi="Times New Roman" w:cs="Times New Roman"/>
        </w:rPr>
        <w:t>Consumer protection.</w:t>
      </w:r>
    </w:p>
    <w:p w14:paraId="0D8D2EA1" w14:textId="5792CDD9" w:rsidR="00D57C29" w:rsidRPr="00D57C29" w:rsidRDefault="00375F4D" w:rsidP="00D54FB4">
      <w:pPr>
        <w:keepNext/>
        <w:rPr>
          <w:rFonts w:ascii="Times New Roman" w:hAnsi="Times New Roman" w:cs="Times New Roman"/>
        </w:rPr>
      </w:pPr>
      <w:r>
        <w:rPr>
          <w:rFonts w:ascii="Times New Roman" w:hAnsi="Times New Roman" w:cs="Times New Roman"/>
        </w:rPr>
        <w:lastRenderedPageBreak/>
        <w:tab/>
      </w:r>
      <w:r w:rsidR="00A748DE">
        <w:rPr>
          <w:rFonts w:ascii="Times New Roman" w:hAnsi="Times New Roman" w:cs="Times New Roman"/>
        </w:rPr>
        <w:t>T</w:t>
      </w:r>
      <w:r w:rsidR="00D57C29">
        <w:rPr>
          <w:rFonts w:ascii="Times New Roman" w:hAnsi="Times New Roman" w:cs="Times New Roman"/>
        </w:rPr>
        <w:t xml:space="preserve">hese </w:t>
      </w:r>
      <w:r w:rsidR="00A748DE">
        <w:rPr>
          <w:rFonts w:ascii="Times New Roman" w:hAnsi="Times New Roman" w:cs="Times New Roman"/>
        </w:rPr>
        <w:t xml:space="preserve">regulatory matters, however, </w:t>
      </w:r>
      <w:r w:rsidR="00A91374">
        <w:rPr>
          <w:rFonts w:ascii="Times New Roman" w:hAnsi="Times New Roman" w:cs="Times New Roman"/>
        </w:rPr>
        <w:t xml:space="preserve">concern construction industry </w:t>
      </w:r>
      <w:r w:rsidR="00356D70">
        <w:rPr>
          <w:rFonts w:ascii="Times New Roman" w:hAnsi="Times New Roman" w:cs="Times New Roman"/>
        </w:rPr>
        <w:t>applications</w:t>
      </w:r>
      <w:r w:rsidR="00A91374">
        <w:rPr>
          <w:rFonts w:ascii="Times New Roman" w:hAnsi="Times New Roman" w:cs="Times New Roman"/>
        </w:rPr>
        <w:t xml:space="preserve"> of broad and </w:t>
      </w:r>
      <w:r w:rsidR="00D57C29">
        <w:rPr>
          <w:rFonts w:ascii="Times New Roman" w:hAnsi="Times New Roman" w:cs="Times New Roman"/>
        </w:rPr>
        <w:t>independent areas of law, some of which are the subjects</w:t>
      </w:r>
      <w:r w:rsidR="00D57C29" w:rsidRPr="00007A09">
        <w:rPr>
          <w:rFonts w:ascii="Times New Roman" w:hAnsi="Times New Roman" w:cs="Times New Roman"/>
        </w:rPr>
        <w:t xml:space="preserve"> of separate Supplemental Lessons.</w:t>
      </w:r>
      <w:r w:rsidR="007A1DE1">
        <w:rPr>
          <w:rFonts w:ascii="Times New Roman" w:hAnsi="Times New Roman" w:cs="Times New Roman"/>
        </w:rPr>
        <w:t xml:space="preserve"> </w:t>
      </w:r>
      <w:r w:rsidR="006E2F34">
        <w:rPr>
          <w:rFonts w:ascii="Times New Roman" w:hAnsi="Times New Roman" w:cs="Times New Roman"/>
        </w:rPr>
        <w:t xml:space="preserve">The additional reading </w:t>
      </w:r>
      <w:r w:rsidR="00755F04">
        <w:rPr>
          <w:rFonts w:ascii="Times New Roman" w:hAnsi="Times New Roman" w:cs="Times New Roman"/>
        </w:rPr>
        <w:t xml:space="preserve">assignment </w:t>
      </w:r>
      <w:r w:rsidR="006E2F34">
        <w:rPr>
          <w:rFonts w:ascii="Times New Roman" w:hAnsi="Times New Roman" w:cs="Times New Roman"/>
        </w:rPr>
        <w:t>list below offers</w:t>
      </w:r>
      <w:r w:rsidR="00CB72B0">
        <w:rPr>
          <w:rFonts w:ascii="Times New Roman" w:hAnsi="Times New Roman" w:cs="Times New Roman"/>
        </w:rPr>
        <w:t xml:space="preserve"> a few ideas for those who wish to provide students with a taste of discrete issues</w:t>
      </w:r>
      <w:r w:rsidR="00FC25BB">
        <w:rPr>
          <w:rFonts w:ascii="Times New Roman" w:hAnsi="Times New Roman" w:cs="Times New Roman"/>
        </w:rPr>
        <w:t xml:space="preserve"> involved in some of these broad areas</w:t>
      </w:r>
      <w:r w:rsidR="00CB72B0">
        <w:rPr>
          <w:rFonts w:ascii="Times New Roman" w:hAnsi="Times New Roman" w:cs="Times New Roman"/>
        </w:rPr>
        <w:t>.</w:t>
      </w:r>
    </w:p>
    <w:p w14:paraId="4690D6AB" w14:textId="1FAC2CEC" w:rsidR="00D54FB4" w:rsidRPr="00007A09" w:rsidRDefault="00793258" w:rsidP="00D54FB4">
      <w:pPr>
        <w:keepNext/>
        <w:rPr>
          <w:rFonts w:ascii="Times New Roman" w:hAnsi="Times New Roman" w:cs="Times New Roman"/>
        </w:rPr>
      </w:pPr>
      <w:r>
        <w:rPr>
          <w:rFonts w:ascii="Times New Roman" w:hAnsi="Times New Roman" w:cs="Times New Roman"/>
          <w:i/>
          <w:iCs/>
        </w:rPr>
        <w:t xml:space="preserve">Suggested </w:t>
      </w:r>
      <w:r w:rsidR="000B562C">
        <w:rPr>
          <w:rFonts w:ascii="Times New Roman" w:hAnsi="Times New Roman" w:cs="Times New Roman"/>
          <w:i/>
          <w:iCs/>
        </w:rPr>
        <w:t>a</w:t>
      </w:r>
      <w:r w:rsidR="00D011BA">
        <w:rPr>
          <w:rFonts w:ascii="Times New Roman" w:hAnsi="Times New Roman" w:cs="Times New Roman"/>
          <w:i/>
          <w:iCs/>
        </w:rPr>
        <w:t>dditional reading assignment</w:t>
      </w:r>
      <w:r>
        <w:rPr>
          <w:rFonts w:ascii="Times New Roman" w:hAnsi="Times New Roman" w:cs="Times New Roman"/>
          <w:i/>
          <w:iCs/>
        </w:rPr>
        <w:t>s</w:t>
      </w:r>
      <w:r w:rsidR="00360E64">
        <w:rPr>
          <w:rFonts w:ascii="Times New Roman" w:hAnsi="Times New Roman" w:cs="Times New Roman"/>
          <w:i/>
          <w:iCs/>
        </w:rPr>
        <w:t xml:space="preserve"> </w:t>
      </w:r>
    </w:p>
    <w:p w14:paraId="01895764" w14:textId="2E2D109A" w:rsidR="00E03339" w:rsidRPr="000C5B48" w:rsidRDefault="00E03339" w:rsidP="007A1FAA">
      <w:pPr>
        <w:rPr>
          <w:rFonts w:ascii="Times New Roman" w:hAnsi="Times New Roman" w:cs="Times New Roman"/>
        </w:rPr>
      </w:pPr>
      <w:r w:rsidRPr="004E08EA">
        <w:rPr>
          <w:rFonts w:ascii="Times New Roman" w:hAnsi="Times New Roman" w:cs="Times New Roman"/>
        </w:rPr>
        <w:t xml:space="preserve">Phillip L. Bruner &amp; Patrick J. O’Connor, Jr., </w:t>
      </w:r>
      <w:r w:rsidR="00FC2D7D">
        <w:rPr>
          <w:rFonts w:ascii="Times New Roman" w:hAnsi="Times New Roman" w:cs="Times New Roman"/>
        </w:rPr>
        <w:t>3</w:t>
      </w:r>
      <w:r w:rsidRPr="004E08EA">
        <w:rPr>
          <w:rFonts w:ascii="Times New Roman" w:hAnsi="Times New Roman" w:cs="Times New Roman"/>
        </w:rPr>
        <w:t xml:space="preserve"> </w:t>
      </w:r>
      <w:r w:rsidRPr="004E08EA">
        <w:rPr>
          <w:rFonts w:ascii="Times New Roman" w:hAnsi="Times New Roman" w:cs="Times New Roman"/>
          <w:i/>
          <w:iCs/>
        </w:rPr>
        <w:t>Bruner &amp; O’Connor on Construction Law</w:t>
      </w:r>
      <w:r w:rsidRPr="004E08EA">
        <w:rPr>
          <w:rFonts w:ascii="Times New Roman" w:hAnsi="Times New Roman" w:cs="Times New Roman"/>
        </w:rPr>
        <w:t xml:space="preserve">, </w:t>
      </w:r>
      <w:r w:rsidRPr="00F13AF8">
        <w:rPr>
          <w:rFonts w:ascii="Times New Roman" w:hAnsi="Times New Roman" w:cs="Times New Roman"/>
        </w:rPr>
        <w:t>§</w:t>
      </w:r>
      <w:r w:rsidR="00FC2D7D">
        <w:rPr>
          <w:rFonts w:ascii="Times New Roman" w:hAnsi="Times New Roman" w:cs="Times New Roman"/>
        </w:rPr>
        <w:t>9</w:t>
      </w:r>
      <w:r>
        <w:rPr>
          <w:rFonts w:ascii="Times New Roman" w:hAnsi="Times New Roman" w:cs="Times New Roman"/>
        </w:rPr>
        <w:t>:1</w:t>
      </w:r>
      <w:r w:rsidR="00FC2D7D">
        <w:rPr>
          <w:rFonts w:ascii="Times New Roman" w:hAnsi="Times New Roman" w:cs="Times New Roman"/>
        </w:rPr>
        <w:t>1</w:t>
      </w:r>
      <w:r w:rsidRPr="004E08EA">
        <w:rPr>
          <w:rFonts w:ascii="Times New Roman" w:hAnsi="Times New Roman" w:cs="Times New Roman"/>
        </w:rPr>
        <w:t xml:space="preserve"> (</w:t>
      </w:r>
      <w:r w:rsidR="00A5636E">
        <w:rPr>
          <w:rFonts w:ascii="Times New Roman" w:hAnsi="Times New Roman" w:cs="Times New Roman"/>
          <w:i/>
          <w:iCs/>
        </w:rPr>
        <w:t>Warranty liability and state consumer protection laws)</w:t>
      </w:r>
      <w:r w:rsidR="000C5B48">
        <w:rPr>
          <w:rFonts w:ascii="Times New Roman" w:hAnsi="Times New Roman" w:cs="Times New Roman"/>
        </w:rPr>
        <w:t>.</w:t>
      </w:r>
    </w:p>
    <w:p w14:paraId="7B2CC6AB" w14:textId="51288EE5" w:rsidR="003B50EB" w:rsidRPr="00E12CDF" w:rsidRDefault="003B50EB" w:rsidP="007A1FAA">
      <w:pPr>
        <w:rPr>
          <w:rFonts w:ascii="Times New Roman" w:hAnsi="Times New Roman" w:cs="Times New Roman"/>
        </w:rPr>
      </w:pPr>
      <w:r>
        <w:rPr>
          <w:rFonts w:ascii="Times New Roman" w:hAnsi="Times New Roman" w:cs="Times New Roman"/>
        </w:rPr>
        <w:t xml:space="preserve">Olivia Polston &amp; Daniel D. Rounds, </w:t>
      </w:r>
      <w:r w:rsidR="006114A3">
        <w:rPr>
          <w:rFonts w:ascii="Times New Roman" w:hAnsi="Times New Roman" w:cs="Times New Roman"/>
          <w:i/>
          <w:iCs/>
        </w:rPr>
        <w:t>The “</w:t>
      </w:r>
      <w:r w:rsidR="00AB4FC2">
        <w:rPr>
          <w:rFonts w:ascii="Times New Roman" w:hAnsi="Times New Roman" w:cs="Times New Roman"/>
          <w:i/>
          <w:iCs/>
        </w:rPr>
        <w:t>Revolutionary FAR Overhaul” Continues</w:t>
      </w:r>
      <w:r w:rsidR="00E12CDF">
        <w:rPr>
          <w:rFonts w:ascii="Times New Roman" w:hAnsi="Times New Roman" w:cs="Times New Roman"/>
        </w:rPr>
        <w:t xml:space="preserve">, </w:t>
      </w:r>
      <w:r w:rsidR="00400BE2">
        <w:rPr>
          <w:rFonts w:ascii="Times New Roman" w:hAnsi="Times New Roman" w:cs="Times New Roman"/>
        </w:rPr>
        <w:t xml:space="preserve">45 </w:t>
      </w:r>
      <w:r w:rsidR="00E12CDF">
        <w:rPr>
          <w:rFonts w:ascii="Times New Roman" w:hAnsi="Times New Roman" w:cs="Times New Roman"/>
        </w:rPr>
        <w:t>Constr. Law.</w:t>
      </w:r>
      <w:r w:rsidR="00400BE2">
        <w:rPr>
          <w:rFonts w:ascii="Times New Roman" w:hAnsi="Times New Roman" w:cs="Times New Roman"/>
        </w:rPr>
        <w:t xml:space="preserve"> 64</w:t>
      </w:r>
      <w:r w:rsidR="00E12CDF">
        <w:rPr>
          <w:rFonts w:ascii="Times New Roman" w:hAnsi="Times New Roman" w:cs="Times New Roman"/>
        </w:rPr>
        <w:t xml:space="preserve"> </w:t>
      </w:r>
      <w:r w:rsidR="0049039A">
        <w:rPr>
          <w:rFonts w:ascii="Times New Roman" w:hAnsi="Times New Roman" w:cs="Times New Roman"/>
        </w:rPr>
        <w:t>(</w:t>
      </w:r>
      <w:r w:rsidR="00E12CDF">
        <w:rPr>
          <w:rFonts w:ascii="Times New Roman" w:hAnsi="Times New Roman" w:cs="Times New Roman"/>
        </w:rPr>
        <w:t>Winter, 2026</w:t>
      </w:r>
      <w:r w:rsidR="0049039A">
        <w:rPr>
          <w:rFonts w:ascii="Times New Roman" w:hAnsi="Times New Roman" w:cs="Times New Roman"/>
        </w:rPr>
        <w:t>)</w:t>
      </w:r>
      <w:r w:rsidR="000C5B48">
        <w:rPr>
          <w:rFonts w:ascii="Times New Roman" w:hAnsi="Times New Roman" w:cs="Times New Roman"/>
        </w:rPr>
        <w:t>.</w:t>
      </w:r>
    </w:p>
    <w:p w14:paraId="1BA6534A" w14:textId="036A0258" w:rsidR="007A1FAA" w:rsidRPr="006729DC" w:rsidRDefault="007A1FAA" w:rsidP="007A1FAA">
      <w:pPr>
        <w:rPr>
          <w:rFonts w:ascii="Times New Roman" w:hAnsi="Times New Roman" w:cs="Times New Roman"/>
        </w:rPr>
      </w:pPr>
      <w:r w:rsidRPr="006729DC">
        <w:rPr>
          <w:rFonts w:ascii="Times New Roman" w:hAnsi="Times New Roman" w:cs="Times New Roman"/>
        </w:rPr>
        <w:t xml:space="preserve">Robert Denney, </w:t>
      </w:r>
      <w:r w:rsidRPr="006729DC">
        <w:rPr>
          <w:rFonts w:ascii="Times New Roman" w:hAnsi="Times New Roman" w:cs="Times New Roman"/>
          <w:i/>
          <w:iCs/>
        </w:rPr>
        <w:t>Contractor Liability Under CERCLA</w:t>
      </w:r>
      <w:r w:rsidRPr="006729DC">
        <w:rPr>
          <w:rFonts w:ascii="Times New Roman" w:hAnsi="Times New Roman" w:cs="Times New Roman"/>
        </w:rPr>
        <w:t xml:space="preserve">, </w:t>
      </w:r>
      <w:r w:rsidR="00C81BAE">
        <w:rPr>
          <w:rFonts w:ascii="Times New Roman" w:hAnsi="Times New Roman" w:cs="Times New Roman"/>
        </w:rPr>
        <w:t xml:space="preserve">40 </w:t>
      </w:r>
      <w:r w:rsidRPr="006729DC">
        <w:rPr>
          <w:rFonts w:ascii="Times New Roman" w:hAnsi="Times New Roman" w:cs="Times New Roman"/>
        </w:rPr>
        <w:t>Constr. Law.</w:t>
      </w:r>
      <w:r w:rsidR="00C81BAE">
        <w:rPr>
          <w:rFonts w:ascii="Times New Roman" w:hAnsi="Times New Roman" w:cs="Times New Roman"/>
        </w:rPr>
        <w:t xml:space="preserve"> 31</w:t>
      </w:r>
      <w:r w:rsidRPr="006729DC">
        <w:rPr>
          <w:rFonts w:ascii="Times New Roman" w:hAnsi="Times New Roman" w:cs="Times New Roman"/>
        </w:rPr>
        <w:t xml:space="preserve"> </w:t>
      </w:r>
      <w:r w:rsidR="00C81BAE">
        <w:rPr>
          <w:rFonts w:ascii="Times New Roman" w:hAnsi="Times New Roman" w:cs="Times New Roman"/>
        </w:rPr>
        <w:t>(</w:t>
      </w:r>
      <w:r w:rsidRPr="006729DC">
        <w:rPr>
          <w:rFonts w:ascii="Times New Roman" w:hAnsi="Times New Roman" w:cs="Times New Roman"/>
        </w:rPr>
        <w:t>Summer 2020</w:t>
      </w:r>
      <w:r w:rsidR="00C81BAE">
        <w:rPr>
          <w:rFonts w:ascii="Times New Roman" w:hAnsi="Times New Roman" w:cs="Times New Roman"/>
        </w:rPr>
        <w:t>)</w:t>
      </w:r>
      <w:r w:rsidR="00DA2F47">
        <w:rPr>
          <w:rFonts w:ascii="Times New Roman" w:hAnsi="Times New Roman" w:cs="Times New Roman"/>
        </w:rPr>
        <w:t>.</w:t>
      </w:r>
    </w:p>
    <w:p w14:paraId="74C3E853" w14:textId="01CDFC15" w:rsidR="00E63CD6" w:rsidRPr="00E63CD6" w:rsidRDefault="00E63CD6" w:rsidP="00ED0FFB">
      <w:pPr>
        <w:keepNext/>
        <w:rPr>
          <w:rFonts w:ascii="Times New Roman" w:hAnsi="Times New Roman" w:cs="Times New Roman"/>
        </w:rPr>
      </w:pPr>
      <w:r w:rsidRPr="006B2D63">
        <w:rPr>
          <w:rFonts w:ascii="Times New Roman" w:hAnsi="Times New Roman" w:cs="Times New Roman"/>
        </w:rPr>
        <w:t xml:space="preserve">Alana Riksheim, </w:t>
      </w:r>
      <w:r w:rsidRPr="006B2D63">
        <w:rPr>
          <w:rFonts w:ascii="Times New Roman" w:hAnsi="Times New Roman" w:cs="Times New Roman"/>
          <w:i/>
          <w:iCs/>
        </w:rPr>
        <w:t>When Prevailing Wages Do Not Prevail: The Davis-Bacon Act in the Context of Public-Private Partnerships After Citycenterdc</w:t>
      </w:r>
      <w:r w:rsidRPr="006B2D63">
        <w:rPr>
          <w:rFonts w:ascii="Times New Roman" w:hAnsi="Times New Roman" w:cs="Times New Roman"/>
        </w:rPr>
        <w:t xml:space="preserve">, </w:t>
      </w:r>
      <w:r w:rsidR="0022598B">
        <w:rPr>
          <w:rFonts w:ascii="Times New Roman" w:hAnsi="Times New Roman" w:cs="Times New Roman"/>
        </w:rPr>
        <w:t xml:space="preserve">38 </w:t>
      </w:r>
      <w:r w:rsidRPr="006B2D63">
        <w:rPr>
          <w:rFonts w:ascii="Times New Roman" w:hAnsi="Times New Roman" w:cs="Times New Roman"/>
        </w:rPr>
        <w:t>Constr. Law.</w:t>
      </w:r>
      <w:r w:rsidR="00981BAC">
        <w:rPr>
          <w:rFonts w:ascii="Times New Roman" w:hAnsi="Times New Roman" w:cs="Times New Roman"/>
        </w:rPr>
        <w:t xml:space="preserve"> 27</w:t>
      </w:r>
      <w:r w:rsidRPr="006B2D63">
        <w:rPr>
          <w:rFonts w:ascii="Times New Roman" w:hAnsi="Times New Roman" w:cs="Times New Roman"/>
        </w:rPr>
        <w:t xml:space="preserve"> </w:t>
      </w:r>
      <w:r w:rsidR="006142FE">
        <w:rPr>
          <w:rFonts w:ascii="Times New Roman" w:hAnsi="Times New Roman" w:cs="Times New Roman"/>
        </w:rPr>
        <w:t>(</w:t>
      </w:r>
      <w:r w:rsidRPr="006B2D63">
        <w:rPr>
          <w:rFonts w:ascii="Times New Roman" w:hAnsi="Times New Roman" w:cs="Times New Roman"/>
        </w:rPr>
        <w:t>Winter 2018</w:t>
      </w:r>
      <w:r w:rsidR="006142FE">
        <w:rPr>
          <w:rFonts w:ascii="Times New Roman" w:hAnsi="Times New Roman" w:cs="Times New Roman"/>
        </w:rPr>
        <w:t>)</w:t>
      </w:r>
      <w:r w:rsidR="00DA2F47">
        <w:rPr>
          <w:rFonts w:ascii="Times New Roman" w:hAnsi="Times New Roman" w:cs="Times New Roman"/>
        </w:rPr>
        <w:t>.</w:t>
      </w:r>
    </w:p>
    <w:p w14:paraId="3F789FD8" w14:textId="0A2ED2FE" w:rsidR="00ED0FFB" w:rsidRPr="00E63CD6" w:rsidRDefault="00ED0FFB" w:rsidP="00ED0FFB">
      <w:pPr>
        <w:keepNext/>
        <w:rPr>
          <w:rFonts w:ascii="Times New Roman" w:hAnsi="Times New Roman" w:cs="Times New Roman"/>
        </w:rPr>
      </w:pPr>
      <w:r w:rsidRPr="00ED0FFB">
        <w:rPr>
          <w:rFonts w:ascii="Times New Roman" w:hAnsi="Times New Roman" w:cs="Times New Roman"/>
        </w:rPr>
        <w:t xml:space="preserve">Janie O'Connor, </w:t>
      </w:r>
      <w:r w:rsidRPr="00ED0FFB">
        <w:rPr>
          <w:rFonts w:ascii="Times New Roman" w:hAnsi="Times New Roman" w:cs="Times New Roman"/>
          <w:i/>
          <w:iCs/>
        </w:rPr>
        <w:t>Accessibility and Historic Preservation: The Conflict Between the ADA and National Historic Preservation Act</w:t>
      </w:r>
      <w:r w:rsidRPr="00ED0FFB">
        <w:rPr>
          <w:rFonts w:ascii="Times New Roman" w:hAnsi="Times New Roman" w:cs="Times New Roman"/>
        </w:rPr>
        <w:t xml:space="preserve">, </w:t>
      </w:r>
      <w:r w:rsidR="0074326F">
        <w:rPr>
          <w:rFonts w:ascii="Times New Roman" w:hAnsi="Times New Roman" w:cs="Times New Roman"/>
        </w:rPr>
        <w:t xml:space="preserve">39 </w:t>
      </w:r>
      <w:r w:rsidRPr="00ED0FFB">
        <w:rPr>
          <w:rFonts w:ascii="Times New Roman" w:hAnsi="Times New Roman" w:cs="Times New Roman"/>
        </w:rPr>
        <w:t>Constr. Law.</w:t>
      </w:r>
      <w:r w:rsidR="0074326F">
        <w:rPr>
          <w:rFonts w:ascii="Times New Roman" w:hAnsi="Times New Roman" w:cs="Times New Roman"/>
        </w:rPr>
        <w:t xml:space="preserve"> 28</w:t>
      </w:r>
      <w:r w:rsidRPr="00ED0FFB">
        <w:rPr>
          <w:rFonts w:ascii="Times New Roman" w:hAnsi="Times New Roman" w:cs="Times New Roman"/>
        </w:rPr>
        <w:t xml:space="preserve"> </w:t>
      </w:r>
      <w:r w:rsidR="0074326F">
        <w:rPr>
          <w:rFonts w:ascii="Times New Roman" w:hAnsi="Times New Roman" w:cs="Times New Roman"/>
        </w:rPr>
        <w:t>(</w:t>
      </w:r>
      <w:r w:rsidRPr="00ED0FFB">
        <w:rPr>
          <w:rFonts w:ascii="Times New Roman" w:hAnsi="Times New Roman" w:cs="Times New Roman"/>
        </w:rPr>
        <w:t>Summer 2019</w:t>
      </w:r>
      <w:r w:rsidR="0074326F">
        <w:rPr>
          <w:rFonts w:ascii="Times New Roman" w:hAnsi="Times New Roman" w:cs="Times New Roman"/>
        </w:rPr>
        <w:t>)</w:t>
      </w:r>
      <w:r w:rsidR="00DA2F47">
        <w:rPr>
          <w:rFonts w:ascii="Times New Roman" w:hAnsi="Times New Roman" w:cs="Times New Roman"/>
        </w:rPr>
        <w:t>.</w:t>
      </w:r>
    </w:p>
    <w:p w14:paraId="26F76644" w14:textId="7A1AACB1" w:rsidR="00007A09" w:rsidRDefault="00007A09" w:rsidP="00007A09">
      <w:pPr>
        <w:rPr>
          <w:rFonts w:ascii="Times New Roman" w:hAnsi="Times New Roman" w:cs="Times New Roman"/>
        </w:rPr>
      </w:pPr>
      <w:r w:rsidRPr="00BF3F6B">
        <w:rPr>
          <w:rFonts w:ascii="Times New Roman" w:hAnsi="Times New Roman" w:cs="Times New Roman"/>
        </w:rPr>
        <w:t xml:space="preserve">Suzanne Karbarz Rovner, Dennis J. Powers, </w:t>
      </w:r>
      <w:r w:rsidRPr="00BF3F6B">
        <w:rPr>
          <w:rFonts w:ascii="Times New Roman" w:hAnsi="Times New Roman" w:cs="Times New Roman"/>
          <w:i/>
          <w:iCs/>
        </w:rPr>
        <w:t>ADA Compliance in the Commercial Context: Whose Job Is It Anyway?</w:t>
      </w:r>
      <w:r w:rsidRPr="00BF3F6B">
        <w:rPr>
          <w:rFonts w:ascii="Times New Roman" w:hAnsi="Times New Roman" w:cs="Times New Roman"/>
        </w:rPr>
        <w:t xml:space="preserve">, </w:t>
      </w:r>
      <w:r w:rsidR="001A5BCA">
        <w:rPr>
          <w:rFonts w:ascii="Times New Roman" w:hAnsi="Times New Roman" w:cs="Times New Roman"/>
        </w:rPr>
        <w:t xml:space="preserve">39 </w:t>
      </w:r>
      <w:r w:rsidRPr="00BF3F6B">
        <w:rPr>
          <w:rFonts w:ascii="Times New Roman" w:hAnsi="Times New Roman" w:cs="Times New Roman"/>
        </w:rPr>
        <w:t>Constr. Law.</w:t>
      </w:r>
      <w:r w:rsidR="001A5BCA">
        <w:rPr>
          <w:rFonts w:ascii="Times New Roman" w:hAnsi="Times New Roman" w:cs="Times New Roman"/>
        </w:rPr>
        <w:t xml:space="preserve"> 14</w:t>
      </w:r>
      <w:r w:rsidRPr="00BF3F6B">
        <w:rPr>
          <w:rFonts w:ascii="Times New Roman" w:hAnsi="Times New Roman" w:cs="Times New Roman"/>
        </w:rPr>
        <w:t xml:space="preserve"> </w:t>
      </w:r>
      <w:r w:rsidR="001A5BCA">
        <w:rPr>
          <w:rFonts w:ascii="Times New Roman" w:hAnsi="Times New Roman" w:cs="Times New Roman"/>
        </w:rPr>
        <w:t>(</w:t>
      </w:r>
      <w:r w:rsidRPr="00BF3F6B">
        <w:rPr>
          <w:rFonts w:ascii="Times New Roman" w:hAnsi="Times New Roman" w:cs="Times New Roman"/>
        </w:rPr>
        <w:t>Summer 2019</w:t>
      </w:r>
      <w:r w:rsidR="00E84148">
        <w:rPr>
          <w:rFonts w:ascii="Times New Roman" w:hAnsi="Times New Roman" w:cs="Times New Roman"/>
        </w:rPr>
        <w:t>)</w:t>
      </w:r>
      <w:r w:rsidR="00DA2F47">
        <w:rPr>
          <w:rFonts w:ascii="Times New Roman" w:hAnsi="Times New Roman" w:cs="Times New Roman"/>
        </w:rPr>
        <w:t>.</w:t>
      </w:r>
    </w:p>
    <w:p w14:paraId="5D64674F" w14:textId="078D912F" w:rsidR="00A26448" w:rsidRPr="00062D41" w:rsidRDefault="00A26448" w:rsidP="00A26448">
      <w:pPr>
        <w:rPr>
          <w:rFonts w:ascii="Times New Roman" w:hAnsi="Times New Roman" w:cs="Times New Roman"/>
        </w:rPr>
      </w:pPr>
      <w:r w:rsidRPr="00062D41">
        <w:rPr>
          <w:rFonts w:ascii="Times New Roman" w:hAnsi="Times New Roman" w:cs="Times New Roman"/>
        </w:rPr>
        <w:t xml:space="preserve">Lori Ann Lange, </w:t>
      </w:r>
      <w:r w:rsidRPr="00062D41">
        <w:rPr>
          <w:rFonts w:ascii="Times New Roman" w:hAnsi="Times New Roman" w:cs="Times New Roman"/>
          <w:i/>
          <w:iCs/>
        </w:rPr>
        <w:t>Navigating the Increasingly Complex Regulatory Environment of Government Contracts,</w:t>
      </w:r>
      <w:r w:rsidRPr="00062D41">
        <w:rPr>
          <w:rFonts w:ascii="Times New Roman" w:hAnsi="Times New Roman" w:cs="Times New Roman"/>
        </w:rPr>
        <w:t xml:space="preserve"> </w:t>
      </w:r>
      <w:r w:rsidR="006845CF">
        <w:rPr>
          <w:rFonts w:ascii="Times New Roman" w:hAnsi="Times New Roman" w:cs="Times New Roman"/>
        </w:rPr>
        <w:t xml:space="preserve">36 </w:t>
      </w:r>
      <w:r w:rsidRPr="00062D41">
        <w:rPr>
          <w:rFonts w:ascii="Times New Roman" w:hAnsi="Times New Roman" w:cs="Times New Roman"/>
        </w:rPr>
        <w:t>Constr. Law.</w:t>
      </w:r>
      <w:r w:rsidR="006845CF">
        <w:rPr>
          <w:rFonts w:ascii="Times New Roman" w:hAnsi="Times New Roman" w:cs="Times New Roman"/>
        </w:rPr>
        <w:t xml:space="preserve"> 28</w:t>
      </w:r>
      <w:r w:rsidRPr="00062D41">
        <w:rPr>
          <w:rFonts w:ascii="Times New Roman" w:hAnsi="Times New Roman" w:cs="Times New Roman"/>
        </w:rPr>
        <w:t xml:space="preserve"> </w:t>
      </w:r>
      <w:r w:rsidR="006845CF">
        <w:rPr>
          <w:rFonts w:ascii="Times New Roman" w:hAnsi="Times New Roman" w:cs="Times New Roman"/>
        </w:rPr>
        <w:t>(</w:t>
      </w:r>
      <w:r w:rsidRPr="00062D41">
        <w:rPr>
          <w:rFonts w:ascii="Times New Roman" w:hAnsi="Times New Roman" w:cs="Times New Roman"/>
        </w:rPr>
        <w:t>Spring 2016</w:t>
      </w:r>
      <w:r w:rsidR="006845CF">
        <w:rPr>
          <w:rFonts w:ascii="Times New Roman" w:hAnsi="Times New Roman" w:cs="Times New Roman"/>
        </w:rPr>
        <w:t>)</w:t>
      </w:r>
      <w:r w:rsidR="00DA2F47">
        <w:rPr>
          <w:rFonts w:ascii="Times New Roman" w:hAnsi="Times New Roman" w:cs="Times New Roman"/>
        </w:rPr>
        <w:t>.</w:t>
      </w:r>
    </w:p>
    <w:p w14:paraId="7CAE5118" w14:textId="77777777" w:rsidR="00A26448" w:rsidRPr="00BF3F6B" w:rsidRDefault="00A26448" w:rsidP="00007A09">
      <w:pPr>
        <w:rPr>
          <w:rFonts w:ascii="Times New Roman" w:hAnsi="Times New Roman" w:cs="Times New Roman"/>
        </w:rPr>
      </w:pPr>
    </w:p>
    <w:p w14:paraId="700C7434" w14:textId="77777777" w:rsidR="00007A09" w:rsidRPr="00ED0FFB" w:rsidRDefault="00007A09" w:rsidP="00ED0FFB">
      <w:pPr>
        <w:keepNext/>
        <w:rPr>
          <w:rFonts w:ascii="Times New Roman" w:hAnsi="Times New Roman" w:cs="Times New Roman"/>
        </w:rPr>
      </w:pPr>
    </w:p>
    <w:p w14:paraId="6759211A" w14:textId="77777777" w:rsidR="00D46837" w:rsidRPr="00007A09" w:rsidRDefault="00D46837" w:rsidP="00D54FB4">
      <w:pPr>
        <w:keepNext/>
        <w:rPr>
          <w:rFonts w:ascii="Times New Roman" w:hAnsi="Times New Roman" w:cs="Times New Roman"/>
          <w:b/>
          <w:bCs/>
        </w:rPr>
      </w:pPr>
    </w:p>
    <w:p w14:paraId="1EBBE624" w14:textId="77777777" w:rsidR="00686F86" w:rsidRPr="00007A09" w:rsidRDefault="00686F86">
      <w:pPr>
        <w:rPr>
          <w:rFonts w:ascii="Times New Roman" w:hAnsi="Times New Roman" w:cs="Times New Roman"/>
        </w:rPr>
      </w:pPr>
    </w:p>
    <w:sectPr w:rsidR="00686F86" w:rsidRPr="00007A0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3DD65" w14:textId="77777777" w:rsidR="00C5574A" w:rsidRDefault="00C5574A" w:rsidP="00D54FB4">
      <w:pPr>
        <w:spacing w:after="0" w:line="240" w:lineRule="auto"/>
      </w:pPr>
      <w:r>
        <w:separator/>
      </w:r>
    </w:p>
  </w:endnote>
  <w:endnote w:type="continuationSeparator" w:id="0">
    <w:p w14:paraId="06F0B929" w14:textId="77777777" w:rsidR="00C5574A" w:rsidRDefault="00C5574A" w:rsidP="00D5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39939"/>
      <w:docPartObj>
        <w:docPartGallery w:val="Page Numbers (Bottom of Page)"/>
        <w:docPartUnique/>
      </w:docPartObj>
    </w:sdtPr>
    <w:sdtEndPr>
      <w:rPr>
        <w:noProof/>
      </w:rPr>
    </w:sdtEndPr>
    <w:sdtContent>
      <w:p w14:paraId="3FC7A2E8" w14:textId="7FDAABD5" w:rsidR="002C0A3A" w:rsidRDefault="002C0A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CEC668" w14:textId="77777777" w:rsidR="002C0A3A" w:rsidRDefault="002C0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E4B0" w14:textId="77777777" w:rsidR="00C5574A" w:rsidRDefault="00C5574A" w:rsidP="00D54FB4">
      <w:pPr>
        <w:spacing w:after="0" w:line="240" w:lineRule="auto"/>
      </w:pPr>
      <w:r>
        <w:separator/>
      </w:r>
    </w:p>
  </w:footnote>
  <w:footnote w:type="continuationSeparator" w:id="0">
    <w:p w14:paraId="52DD3F2B" w14:textId="77777777" w:rsidR="00C5574A" w:rsidRDefault="00C5574A" w:rsidP="00D54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EDF8" w14:textId="619FC056" w:rsidR="00D54FB4" w:rsidRDefault="00D54FB4">
    <w:pPr>
      <w:pStyle w:val="Header"/>
    </w:pPr>
    <w:r>
      <w:t>Work-in-progress © Carl J. Circo April 2026</w:t>
    </w:r>
  </w:p>
  <w:p w14:paraId="138D7692" w14:textId="77777777" w:rsidR="00D54FB4" w:rsidRDefault="00D54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75975"/>
    <w:multiLevelType w:val="hybridMultilevel"/>
    <w:tmpl w:val="4E72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50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FB4"/>
    <w:rsid w:val="00007A09"/>
    <w:rsid w:val="00013ED5"/>
    <w:rsid w:val="000B562C"/>
    <w:rsid w:val="000C1A5E"/>
    <w:rsid w:val="000C5B48"/>
    <w:rsid w:val="000F2A53"/>
    <w:rsid w:val="00124E62"/>
    <w:rsid w:val="00151BAA"/>
    <w:rsid w:val="001636AC"/>
    <w:rsid w:val="00173943"/>
    <w:rsid w:val="00196290"/>
    <w:rsid w:val="001A5BCA"/>
    <w:rsid w:val="002015F4"/>
    <w:rsid w:val="0022598B"/>
    <w:rsid w:val="00257DB4"/>
    <w:rsid w:val="002A6102"/>
    <w:rsid w:val="002C0A3A"/>
    <w:rsid w:val="002D4D77"/>
    <w:rsid w:val="002E13EF"/>
    <w:rsid w:val="002F548F"/>
    <w:rsid w:val="0032321E"/>
    <w:rsid w:val="00323793"/>
    <w:rsid w:val="00337F30"/>
    <w:rsid w:val="003552A3"/>
    <w:rsid w:val="00356435"/>
    <w:rsid w:val="00356D70"/>
    <w:rsid w:val="00360E64"/>
    <w:rsid w:val="00375F4D"/>
    <w:rsid w:val="00385D9D"/>
    <w:rsid w:val="003B50EB"/>
    <w:rsid w:val="003D7F10"/>
    <w:rsid w:val="00400BE2"/>
    <w:rsid w:val="00405CBF"/>
    <w:rsid w:val="00433882"/>
    <w:rsid w:val="00437E04"/>
    <w:rsid w:val="00452B37"/>
    <w:rsid w:val="00457F38"/>
    <w:rsid w:val="0049039A"/>
    <w:rsid w:val="004D5590"/>
    <w:rsid w:val="004E08EA"/>
    <w:rsid w:val="004E57F7"/>
    <w:rsid w:val="004E6BF0"/>
    <w:rsid w:val="005233E3"/>
    <w:rsid w:val="00526FB9"/>
    <w:rsid w:val="005431AB"/>
    <w:rsid w:val="00544947"/>
    <w:rsid w:val="00585EEC"/>
    <w:rsid w:val="006114A3"/>
    <w:rsid w:val="006142FE"/>
    <w:rsid w:val="00647372"/>
    <w:rsid w:val="006845CF"/>
    <w:rsid w:val="00686F86"/>
    <w:rsid w:val="006E2F34"/>
    <w:rsid w:val="0074326F"/>
    <w:rsid w:val="00754EB4"/>
    <w:rsid w:val="007552AB"/>
    <w:rsid w:val="00755F04"/>
    <w:rsid w:val="00774918"/>
    <w:rsid w:val="00787938"/>
    <w:rsid w:val="0079141D"/>
    <w:rsid w:val="00793258"/>
    <w:rsid w:val="007A1DE1"/>
    <w:rsid w:val="007A1FAA"/>
    <w:rsid w:val="007C03ED"/>
    <w:rsid w:val="007D4CF4"/>
    <w:rsid w:val="008B594B"/>
    <w:rsid w:val="00981BAC"/>
    <w:rsid w:val="009A12C3"/>
    <w:rsid w:val="009B0BFF"/>
    <w:rsid w:val="009D579C"/>
    <w:rsid w:val="009F3D01"/>
    <w:rsid w:val="00A26448"/>
    <w:rsid w:val="00A50E69"/>
    <w:rsid w:val="00A5636E"/>
    <w:rsid w:val="00A748DE"/>
    <w:rsid w:val="00A87720"/>
    <w:rsid w:val="00A91374"/>
    <w:rsid w:val="00AB359C"/>
    <w:rsid w:val="00AB4FC2"/>
    <w:rsid w:val="00AF6B30"/>
    <w:rsid w:val="00B033D8"/>
    <w:rsid w:val="00B34FFB"/>
    <w:rsid w:val="00B957EA"/>
    <w:rsid w:val="00BD13C2"/>
    <w:rsid w:val="00BE2BCB"/>
    <w:rsid w:val="00C108B3"/>
    <w:rsid w:val="00C46157"/>
    <w:rsid w:val="00C5147F"/>
    <w:rsid w:val="00C5574A"/>
    <w:rsid w:val="00C74AE6"/>
    <w:rsid w:val="00C81BAE"/>
    <w:rsid w:val="00C92B2D"/>
    <w:rsid w:val="00C956B0"/>
    <w:rsid w:val="00CB72B0"/>
    <w:rsid w:val="00D011BA"/>
    <w:rsid w:val="00D11BBB"/>
    <w:rsid w:val="00D27602"/>
    <w:rsid w:val="00D37C27"/>
    <w:rsid w:val="00D46837"/>
    <w:rsid w:val="00D54FB4"/>
    <w:rsid w:val="00D57C29"/>
    <w:rsid w:val="00DA2F47"/>
    <w:rsid w:val="00E03339"/>
    <w:rsid w:val="00E12CDF"/>
    <w:rsid w:val="00E32CEF"/>
    <w:rsid w:val="00E63CD6"/>
    <w:rsid w:val="00E83E06"/>
    <w:rsid w:val="00E84148"/>
    <w:rsid w:val="00E85D20"/>
    <w:rsid w:val="00ED0FFB"/>
    <w:rsid w:val="00F13AF8"/>
    <w:rsid w:val="00F51E1F"/>
    <w:rsid w:val="00F67FA9"/>
    <w:rsid w:val="00F74A55"/>
    <w:rsid w:val="00F96457"/>
    <w:rsid w:val="00FC25BB"/>
    <w:rsid w:val="00FC2D7D"/>
    <w:rsid w:val="00FD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F562"/>
  <w15:chartTrackingRefBased/>
  <w15:docId w15:val="{50CC4943-61E7-44DA-869F-1505167A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FB4"/>
    <w:pPr>
      <w:spacing w:line="259" w:lineRule="auto"/>
    </w:pPr>
    <w:rPr>
      <w:rFonts w:asciiTheme="majorHAnsi" w:hAnsiTheme="majorHAnsi" w:cstheme="majorHAnsi"/>
    </w:rPr>
  </w:style>
  <w:style w:type="paragraph" w:styleId="Heading1">
    <w:name w:val="heading 1"/>
    <w:basedOn w:val="Normal"/>
    <w:next w:val="Normal"/>
    <w:link w:val="Heading1Char"/>
    <w:uiPriority w:val="9"/>
    <w:qFormat/>
    <w:rsid w:val="00D54FB4"/>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FB4"/>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F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F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F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FB4"/>
    <w:rPr>
      <w:rFonts w:eastAsiaTheme="majorEastAsia" w:cstheme="majorBidi"/>
      <w:color w:val="272727" w:themeColor="text1" w:themeTint="D8"/>
    </w:rPr>
  </w:style>
  <w:style w:type="paragraph" w:styleId="Title">
    <w:name w:val="Title"/>
    <w:basedOn w:val="Normal"/>
    <w:next w:val="Normal"/>
    <w:link w:val="TitleChar"/>
    <w:uiPriority w:val="10"/>
    <w:qFormat/>
    <w:rsid w:val="00D54FB4"/>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54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FB4"/>
    <w:pPr>
      <w:spacing w:before="160"/>
      <w:jc w:val="center"/>
    </w:pPr>
    <w:rPr>
      <w:i/>
      <w:iCs/>
      <w:color w:val="404040" w:themeColor="text1" w:themeTint="BF"/>
    </w:rPr>
  </w:style>
  <w:style w:type="character" w:customStyle="1" w:styleId="QuoteChar">
    <w:name w:val="Quote Char"/>
    <w:basedOn w:val="DefaultParagraphFont"/>
    <w:link w:val="Quote"/>
    <w:uiPriority w:val="29"/>
    <w:rsid w:val="00D54FB4"/>
    <w:rPr>
      <w:i/>
      <w:iCs/>
      <w:color w:val="404040" w:themeColor="text1" w:themeTint="BF"/>
    </w:rPr>
  </w:style>
  <w:style w:type="paragraph" w:styleId="ListParagraph">
    <w:name w:val="List Paragraph"/>
    <w:basedOn w:val="Normal"/>
    <w:uiPriority w:val="34"/>
    <w:qFormat/>
    <w:rsid w:val="00D54FB4"/>
    <w:pPr>
      <w:ind w:left="720"/>
      <w:contextualSpacing/>
    </w:pPr>
  </w:style>
  <w:style w:type="character" w:styleId="IntenseEmphasis">
    <w:name w:val="Intense Emphasis"/>
    <w:basedOn w:val="DefaultParagraphFont"/>
    <w:uiPriority w:val="21"/>
    <w:qFormat/>
    <w:rsid w:val="00D54FB4"/>
    <w:rPr>
      <w:i/>
      <w:iCs/>
      <w:color w:val="0F4761" w:themeColor="accent1" w:themeShade="BF"/>
    </w:rPr>
  </w:style>
  <w:style w:type="paragraph" w:styleId="IntenseQuote">
    <w:name w:val="Intense Quote"/>
    <w:basedOn w:val="Normal"/>
    <w:next w:val="Normal"/>
    <w:link w:val="IntenseQuoteChar"/>
    <w:uiPriority w:val="30"/>
    <w:qFormat/>
    <w:rsid w:val="00D54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FB4"/>
    <w:rPr>
      <w:i/>
      <w:iCs/>
      <w:color w:val="0F4761" w:themeColor="accent1" w:themeShade="BF"/>
    </w:rPr>
  </w:style>
  <w:style w:type="character" w:styleId="IntenseReference">
    <w:name w:val="Intense Reference"/>
    <w:basedOn w:val="DefaultParagraphFont"/>
    <w:uiPriority w:val="32"/>
    <w:qFormat/>
    <w:rsid w:val="00D54FB4"/>
    <w:rPr>
      <w:b/>
      <w:bCs/>
      <w:smallCaps/>
      <w:color w:val="0F4761" w:themeColor="accent1" w:themeShade="BF"/>
      <w:spacing w:val="5"/>
    </w:rPr>
  </w:style>
  <w:style w:type="paragraph" w:styleId="Header">
    <w:name w:val="header"/>
    <w:basedOn w:val="Normal"/>
    <w:link w:val="HeaderChar"/>
    <w:uiPriority w:val="99"/>
    <w:unhideWhenUsed/>
    <w:rsid w:val="00D54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FB4"/>
    <w:rPr>
      <w:rFonts w:asciiTheme="majorHAnsi" w:hAnsiTheme="majorHAnsi" w:cstheme="majorHAnsi"/>
    </w:rPr>
  </w:style>
  <w:style w:type="paragraph" w:styleId="Footer">
    <w:name w:val="footer"/>
    <w:basedOn w:val="Normal"/>
    <w:link w:val="FooterChar"/>
    <w:uiPriority w:val="99"/>
    <w:unhideWhenUsed/>
    <w:rsid w:val="00D54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FB4"/>
    <w:rPr>
      <w:rFonts w:asciiTheme="majorHAnsi" w:hAnsiTheme="majorHAnsi" w:cs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Template>
  <TotalTime>469</TotalTime>
  <Pages>2</Pages>
  <Words>601</Words>
  <Characters>3427</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Circo</dc:creator>
  <cp:keywords/>
  <dc:description/>
  <cp:lastModifiedBy>Carl Circo</cp:lastModifiedBy>
  <cp:revision>111</cp:revision>
  <dcterms:created xsi:type="dcterms:W3CDTF">2026-04-12T12:21:00Z</dcterms:created>
  <dcterms:modified xsi:type="dcterms:W3CDTF">2026-04-17T11:51:00Z</dcterms:modified>
</cp:coreProperties>
</file>