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658D" w14:textId="77777777" w:rsidR="00E86123" w:rsidRDefault="00E86123" w:rsidP="00E86123">
      <w:pPr>
        <w:rPr>
          <w:b/>
          <w:bCs/>
        </w:rPr>
      </w:pPr>
      <w:r>
        <w:rPr>
          <w:b/>
          <w:bCs/>
        </w:rPr>
        <w:t>Construction and Design Law: Managing the Network of Interdependent Relationships</w:t>
      </w:r>
    </w:p>
    <w:p w14:paraId="64A19548" w14:textId="77777777" w:rsidR="00E86123" w:rsidRDefault="00E86123" w:rsidP="00E86123">
      <w:pPr>
        <w:jc w:val="center"/>
      </w:pPr>
      <w:r>
        <w:t>Carl J. Circo</w:t>
      </w:r>
    </w:p>
    <w:p w14:paraId="25E8DACD" w14:textId="77777777" w:rsidR="00E86123" w:rsidRDefault="00E86123" w:rsidP="00E86123">
      <w:pPr>
        <w:jc w:val="center"/>
        <w:rPr>
          <w:b/>
          <w:bCs/>
        </w:rPr>
      </w:pPr>
      <w:r>
        <w:rPr>
          <w:b/>
          <w:bCs/>
        </w:rPr>
        <w:t>Part 3</w:t>
      </w:r>
    </w:p>
    <w:p w14:paraId="7BD9199D" w14:textId="082438F3" w:rsidR="00EF2B37" w:rsidRDefault="00E86123" w:rsidP="00E86123">
      <w:pPr>
        <w:keepNext/>
        <w:jc w:val="center"/>
        <w:rPr>
          <w:b/>
          <w:bCs/>
        </w:rPr>
      </w:pPr>
      <w:r w:rsidRPr="00F2305A">
        <w:rPr>
          <w:b/>
          <w:bCs/>
        </w:rPr>
        <w:t xml:space="preserve">Lesson </w:t>
      </w:r>
      <w:r>
        <w:rPr>
          <w:b/>
          <w:bCs/>
        </w:rPr>
        <w:t>2</w:t>
      </w:r>
      <w:r w:rsidR="00C0422B">
        <w:rPr>
          <w:b/>
          <w:bCs/>
        </w:rPr>
        <w:t>5</w:t>
      </w:r>
      <w:r w:rsidRPr="00F2305A">
        <w:rPr>
          <w:b/>
          <w:bCs/>
        </w:rPr>
        <w:t xml:space="preserve">: </w:t>
      </w:r>
      <w:r w:rsidR="00C0422B">
        <w:rPr>
          <w:b/>
          <w:bCs/>
        </w:rPr>
        <w:t>The Economic Loss Problem</w:t>
      </w:r>
    </w:p>
    <w:p w14:paraId="315EF00B" w14:textId="7866507B" w:rsidR="00EF2B37" w:rsidRDefault="00EF2B37" w:rsidP="00EF2B37">
      <w:pPr>
        <w:keepNext/>
      </w:pPr>
      <w:r>
        <w:rPr>
          <w:b/>
          <w:bCs/>
        </w:rPr>
        <w:tab/>
      </w:r>
      <w:r w:rsidR="00C5396C">
        <w:t>F</w:t>
      </w:r>
      <w:r>
        <w:t xml:space="preserve">ew </w:t>
      </w:r>
      <w:r w:rsidR="000375C3">
        <w:t xml:space="preserve">highly theoretical issues </w:t>
      </w:r>
      <w:r w:rsidR="00C5396C">
        <w:t xml:space="preserve">of interest to construction lawyers </w:t>
      </w:r>
      <w:r w:rsidR="00E949FB">
        <w:t>generate</w:t>
      </w:r>
      <w:r w:rsidR="00C5396C">
        <w:t xml:space="preserve"> as much </w:t>
      </w:r>
      <w:r w:rsidR="00E26FC4">
        <w:t>attention</w:t>
      </w:r>
      <w:r w:rsidR="00C5396C">
        <w:t xml:space="preserve"> </w:t>
      </w:r>
      <w:r w:rsidR="00C66418">
        <w:t>i</w:t>
      </w:r>
      <w:r w:rsidR="00C5396C">
        <w:t>n</w:t>
      </w:r>
      <w:r w:rsidR="00C5396C" w:rsidRPr="00C5396C">
        <w:t xml:space="preserve"> </w:t>
      </w:r>
      <w:r w:rsidR="00C5396C">
        <w:t>judicial opinion</w:t>
      </w:r>
      <w:r w:rsidR="00803C00">
        <w:t xml:space="preserve">s and secondary sources </w:t>
      </w:r>
      <w:r w:rsidR="000E2597">
        <w:t>as does the economic loss rule.</w:t>
      </w:r>
      <w:r w:rsidR="000D2E79">
        <w:t xml:space="preserve"> </w:t>
      </w:r>
      <w:r w:rsidR="0053110D">
        <w:t>Con</w:t>
      </w:r>
      <w:r w:rsidR="00337E1E">
        <w:t xml:space="preserve">siderable </w:t>
      </w:r>
      <w:r w:rsidR="007C77F4">
        <w:t>disagreements among the authorities</w:t>
      </w:r>
      <w:r w:rsidR="00923DD0">
        <w:t xml:space="preserve"> </w:t>
      </w:r>
      <w:r w:rsidR="00337E1E">
        <w:t>account for all</w:t>
      </w:r>
      <w:r w:rsidR="00923DD0">
        <w:t xml:space="preserve"> this</w:t>
      </w:r>
      <w:r w:rsidR="006F3C8D">
        <w:t xml:space="preserve"> </w:t>
      </w:r>
      <w:r w:rsidR="00E26FC4">
        <w:t>interest.</w:t>
      </w:r>
    </w:p>
    <w:p w14:paraId="2B94204B" w14:textId="08B58964" w:rsidR="00E26FC4" w:rsidRDefault="00E26FC4" w:rsidP="00E26FC4">
      <w:pPr>
        <w:keepNext/>
        <w:ind w:left="720"/>
      </w:pPr>
      <w:r>
        <w:t xml:space="preserve">Simply stated, the rule generally prohibits tort </w:t>
      </w:r>
      <w:r w:rsidR="00EE0C08">
        <w:t>recovery</w:t>
      </w:r>
      <w:r>
        <w:t xml:space="preserve"> for a plaintiff’s economic </w:t>
      </w:r>
      <w:r w:rsidR="00EE0C08">
        <w:t>losses</w:t>
      </w:r>
      <w:r>
        <w:t xml:space="preserve"> attributable to the defendant’s breach of contract unless the economic losses are accompanied by damage to property or personal injury</w:t>
      </w:r>
      <w:r w:rsidR="00960B7A">
        <w:t>. The ru</w:t>
      </w:r>
      <w:r w:rsidR="00197F85">
        <w:t>l</w:t>
      </w:r>
      <w:r w:rsidR="00960B7A">
        <w:t>e admits of a long and growing list of exceptions, including circumstances in which the contract br</w:t>
      </w:r>
      <w:r w:rsidR="00197F85">
        <w:t>e</w:t>
      </w:r>
      <w:r w:rsidR="00960B7A">
        <w:t>ach a</w:t>
      </w:r>
      <w:r w:rsidR="00197F85">
        <w:t>l</w:t>
      </w:r>
      <w:r w:rsidR="00960B7A">
        <w:t>so violate</w:t>
      </w:r>
      <w:r w:rsidR="00E042EC">
        <w:t>s</w:t>
      </w:r>
      <w:r w:rsidR="00960B7A">
        <w:t xml:space="preserve"> some independent duty owed to the plaintiff.</w:t>
      </w:r>
      <w:r w:rsidR="00A84DF8">
        <w:t xml:space="preserve"> For example, alternative versions of the rule may or may not apply in a construction industry setting if a plaintiff involved with the project can prove damages suffered as the result of negligence arising out of an act or omission in the performance of the defendant’s contractual obligations owed to a project participant other than the plaintiff.</w:t>
      </w:r>
    </w:p>
    <w:p w14:paraId="6E54AEBB" w14:textId="5847A2F7" w:rsidR="00094E48" w:rsidRDefault="00094E48" w:rsidP="00E26FC4">
      <w:pPr>
        <w:keepNext/>
        <w:ind w:left="720"/>
      </w:pPr>
      <w:r>
        <w:tab/>
        <w:t xml:space="preserve">While the rule claims a distinguished pedigree in products liability law, where it implements both tort and contract policies that favor setting rational limits on a manufacturer’s liability for purely economic </w:t>
      </w:r>
      <w:r w:rsidR="00537CE8">
        <w:t>losses</w:t>
      </w:r>
      <w:r>
        <w:t xml:space="preserve"> incurred by a plaintiff remotely connected to the manufacturer, its judicial application in many</w:t>
      </w:r>
      <w:r w:rsidR="003C1CFD">
        <w:t xml:space="preserve"> other circumstances </w:t>
      </w:r>
      <w:r w:rsidR="00253D32">
        <w:t>h</w:t>
      </w:r>
      <w:r w:rsidR="003C1CFD">
        <w:t>as become confoundingly inconsistent and inco</w:t>
      </w:r>
      <w:r w:rsidR="005F1E66">
        <w:t xml:space="preserve">herent. The construction industry cases in which defendants raise the economic loss rule as a defense have generated some of the most </w:t>
      </w:r>
      <w:r w:rsidR="00537CE8">
        <w:t>confusing and contradictory opinions.</w:t>
      </w:r>
    </w:p>
    <w:p w14:paraId="67F62B1C" w14:textId="625E55C4" w:rsidR="00966191" w:rsidRDefault="00F67553" w:rsidP="00302A2D">
      <w:pPr>
        <w:keepNext/>
      </w:pPr>
      <w:r>
        <w:t xml:space="preserve">Carl J. Circo, </w:t>
      </w:r>
      <w:r>
        <w:rPr>
          <w:i/>
          <w:iCs/>
        </w:rPr>
        <w:t>Contract Law in the Construction Industry Context</w:t>
      </w:r>
      <w:r>
        <w:t xml:space="preserve"> at </w:t>
      </w:r>
      <w:r w:rsidR="002E2541">
        <w:t>154-55 (2020).</w:t>
      </w:r>
    </w:p>
    <w:p w14:paraId="0F138B77" w14:textId="2DD526FA" w:rsidR="002E2541" w:rsidRDefault="002E2541" w:rsidP="00302A2D">
      <w:pPr>
        <w:keepNext/>
      </w:pPr>
      <w:r>
        <w:tab/>
      </w:r>
      <w:r w:rsidR="00D60FB9">
        <w:t>Some of the most difficult</w:t>
      </w:r>
      <w:r w:rsidR="003144A1">
        <w:t xml:space="preserve"> economic loss </w:t>
      </w:r>
      <w:r w:rsidR="00DB634F">
        <w:t>problems</w:t>
      </w:r>
      <w:r w:rsidR="003144A1">
        <w:t xml:space="preserve"> </w:t>
      </w:r>
      <w:r w:rsidR="00774721">
        <w:t>arise</w:t>
      </w:r>
      <w:r w:rsidR="003144A1">
        <w:t xml:space="preserve"> in</w:t>
      </w:r>
      <w:r w:rsidR="00154522">
        <w:t xml:space="preserve"> construction industry cases</w:t>
      </w:r>
      <w:r w:rsidR="003144A1">
        <w:t xml:space="preserve"> because </w:t>
      </w:r>
      <w:r w:rsidR="00F83F07">
        <w:t xml:space="preserve">acts and omissions of </w:t>
      </w:r>
      <w:r w:rsidR="005A69D5">
        <w:t xml:space="preserve">so </w:t>
      </w:r>
      <w:r w:rsidR="00287540">
        <w:t>many</w:t>
      </w:r>
      <w:r w:rsidR="00F83F07">
        <w:t xml:space="preserve"> project participants</w:t>
      </w:r>
      <w:r w:rsidR="00287540">
        <w:t xml:space="preserve"> can impact the economic interests of</w:t>
      </w:r>
      <w:r w:rsidR="005946D9">
        <w:t xml:space="preserve"> </w:t>
      </w:r>
      <w:r w:rsidR="00287540">
        <w:t>other participants</w:t>
      </w:r>
      <w:r w:rsidR="00697293">
        <w:t>.</w:t>
      </w:r>
      <w:r w:rsidR="00154522">
        <w:t xml:space="preserve"> </w:t>
      </w:r>
      <w:r w:rsidR="002C1DBE">
        <w:t xml:space="preserve">At its core, the problem involves determining when those involved in a building design and construction project owe a tort duty to avoid causing unintended economic loss to other project participants. For example, </w:t>
      </w:r>
      <w:r w:rsidR="00BF076E">
        <w:t>when should a project participant be liable to another participant for</w:t>
      </w:r>
      <w:r w:rsidR="00A94250">
        <w:t xml:space="preserve"> adverse economic</w:t>
      </w:r>
      <w:r w:rsidR="00BD59FD">
        <w:t xml:space="preserve"> consequences flowing from</w:t>
      </w:r>
      <w:r w:rsidR="00F42643">
        <w:t xml:space="preserve"> negligent performance of services or for</w:t>
      </w:r>
      <w:r w:rsidR="00BF076E">
        <w:t xml:space="preserve"> negligent misrepresentations, or </w:t>
      </w:r>
      <w:r w:rsidR="002C1DBE">
        <w:t>should an engineer retained by the project owner</w:t>
      </w:r>
      <w:r w:rsidR="00AF1D77">
        <w:t xml:space="preserve"> be</w:t>
      </w:r>
      <w:r w:rsidR="002C1DBE">
        <w:t xml:space="preserve"> liable to the project’s general contractor or a subcontractor for delay damages attributable to performance of design or project administration services, or should </w:t>
      </w:r>
      <w:r w:rsidR="00B6167E">
        <w:t>tort law</w:t>
      </w:r>
      <w:r w:rsidR="002C1DBE">
        <w:t xml:space="preserve"> hold one subcontractor liable for purely economic losses that subcontractor’s faulty performance indirectly causes to another subcontractor? </w:t>
      </w:r>
      <w:r w:rsidR="00333DD8">
        <w:t xml:space="preserve">The plaintiff’s motivation </w:t>
      </w:r>
      <w:r w:rsidR="002E2481">
        <w:t xml:space="preserve">for pursuing a tort cause of action </w:t>
      </w:r>
      <w:r w:rsidR="00333DD8">
        <w:t xml:space="preserve">may simply be to </w:t>
      </w:r>
      <w:r w:rsidR="000A01D5">
        <w:t>supplement a contract claim</w:t>
      </w:r>
      <w:r w:rsidR="00A939B2">
        <w:t>, to take advantage of evidence specifically relevant under tort principles, or to seek remedies</w:t>
      </w:r>
      <w:r w:rsidR="00A81308">
        <w:t xml:space="preserve"> beyond those available under contract law. </w:t>
      </w:r>
      <w:r w:rsidR="00AD174F">
        <w:lastRenderedPageBreak/>
        <w:t>Distinctions between applicable statutes of limitation and statutes of repose</w:t>
      </w:r>
      <w:r w:rsidR="009B6144">
        <w:t xml:space="preserve"> or rules </w:t>
      </w:r>
      <w:r w:rsidR="00C618F2">
        <w:t>determining</w:t>
      </w:r>
      <w:r w:rsidR="009B6144">
        <w:t xml:space="preserve"> when a cause of </w:t>
      </w:r>
      <w:r w:rsidR="00E16BAE">
        <w:t>action</w:t>
      </w:r>
      <w:r w:rsidR="009B6144">
        <w:t xml:space="preserve"> </w:t>
      </w:r>
      <w:r w:rsidR="00350988">
        <w:t xml:space="preserve">accrues </w:t>
      </w:r>
      <w:r w:rsidR="009B6144">
        <w:t>may also be important. Often of even greater significance is that t</w:t>
      </w:r>
      <w:r w:rsidR="0091615B">
        <w:t>ort theories</w:t>
      </w:r>
      <w:r w:rsidR="002C301F">
        <w:t xml:space="preserve"> may</w:t>
      </w:r>
      <w:r w:rsidR="0091615B">
        <w:t xml:space="preserve"> provide t</w:t>
      </w:r>
      <w:r w:rsidR="009B6144">
        <w:t>he</w:t>
      </w:r>
      <w:r w:rsidR="00D85644">
        <w:t xml:space="preserve"> only</w:t>
      </w:r>
      <w:r w:rsidR="009B6144">
        <w:t xml:space="preserve"> </w:t>
      </w:r>
      <w:r w:rsidR="00BC0D99">
        <w:t xml:space="preserve">viable </w:t>
      </w:r>
      <w:r w:rsidR="0091615B">
        <w:t>route</w:t>
      </w:r>
      <w:r w:rsidR="009B6144">
        <w:t xml:space="preserve"> </w:t>
      </w:r>
      <w:r w:rsidR="0091615B">
        <w:t xml:space="preserve">because the plaintiff is </w:t>
      </w:r>
      <w:r w:rsidR="009C192B">
        <w:t>not</w:t>
      </w:r>
      <w:r w:rsidR="00A04DD3">
        <w:t xml:space="preserve"> in privity of contract with the target defendant</w:t>
      </w:r>
      <w:r w:rsidR="009C192B">
        <w:t>.</w:t>
      </w:r>
      <w:r w:rsidR="00E06E43">
        <w:t xml:space="preserve"> </w:t>
      </w:r>
      <w:r w:rsidR="00D94544">
        <w:t>T</w:t>
      </w:r>
      <w:r w:rsidR="003B0130">
        <w:t xml:space="preserve">he rule’s application to </w:t>
      </w:r>
      <w:r w:rsidR="008843E7">
        <w:t>such circumstances</w:t>
      </w:r>
      <w:r w:rsidR="003B0130">
        <w:t xml:space="preserve"> </w:t>
      </w:r>
      <w:r w:rsidR="006B2D5B">
        <w:t>varies so greatly among jurisdictions, and</w:t>
      </w:r>
      <w:r w:rsidR="00054303">
        <w:t xml:space="preserve"> sometimes even within conflicting </w:t>
      </w:r>
      <w:r w:rsidR="006B2D5B">
        <w:t>precedents</w:t>
      </w:r>
      <w:r w:rsidR="00054303">
        <w:t xml:space="preserve"> in a single jurisdiction</w:t>
      </w:r>
      <w:r w:rsidR="003025EF">
        <w:t>,</w:t>
      </w:r>
      <w:r w:rsidR="008843E7">
        <w:t xml:space="preserve"> that</w:t>
      </w:r>
      <w:r w:rsidR="009E09F8">
        <w:t xml:space="preserve"> </w:t>
      </w:r>
      <w:r w:rsidR="009B6447">
        <w:t xml:space="preserve">clear </w:t>
      </w:r>
      <w:r w:rsidR="00F521D3">
        <w:t>and</w:t>
      </w:r>
      <w:r w:rsidR="009B6447">
        <w:t xml:space="preserve"> definitive </w:t>
      </w:r>
      <w:r w:rsidR="008843E7">
        <w:t>principles</w:t>
      </w:r>
      <w:r w:rsidR="009B6447">
        <w:t xml:space="preserve"> </w:t>
      </w:r>
      <w:r w:rsidR="003B01B2">
        <w:t xml:space="preserve">prove evasive. </w:t>
      </w:r>
      <w:r w:rsidR="00C83D1B">
        <w:rPr>
          <w:i/>
          <w:iCs/>
        </w:rPr>
        <w:t>See</w:t>
      </w:r>
      <w:r w:rsidR="00712C34">
        <w:rPr>
          <w:i/>
          <w:iCs/>
        </w:rPr>
        <w:t xml:space="preserve"> </w:t>
      </w:r>
      <w:r w:rsidR="001C2EDD">
        <w:t xml:space="preserve">Phillip L. Bruner &amp; Patrick J. O’Connor, Jr., </w:t>
      </w:r>
      <w:r w:rsidR="008F49C3">
        <w:t>7</w:t>
      </w:r>
      <w:r w:rsidR="001C2EDD">
        <w:t xml:space="preserve"> </w:t>
      </w:r>
      <w:r w:rsidR="001C2EDD" w:rsidRPr="001511CC">
        <w:rPr>
          <w:i/>
          <w:iCs/>
        </w:rPr>
        <w:t>Bruner &amp; O’Connor on Construction Law</w:t>
      </w:r>
      <w:r w:rsidR="001C2EDD">
        <w:t>, §§ 1</w:t>
      </w:r>
      <w:r w:rsidR="008F49C3">
        <w:t>9</w:t>
      </w:r>
      <w:r w:rsidR="001C2EDD">
        <w:t>:</w:t>
      </w:r>
      <w:r w:rsidR="008F49C3">
        <w:t>10</w:t>
      </w:r>
      <w:r w:rsidR="001C2EDD">
        <w:t>-1</w:t>
      </w:r>
      <w:r w:rsidR="00F61881">
        <w:t>9:13</w:t>
      </w:r>
      <w:r w:rsidR="001C2EDD">
        <w:t xml:space="preserve"> (Westlaw Jan. 2026)</w:t>
      </w:r>
      <w:r w:rsidR="00C14980">
        <w:t xml:space="preserve">; </w:t>
      </w:r>
      <w:r w:rsidR="003C20EE">
        <w:rPr>
          <w:bCs/>
        </w:rPr>
        <w:t xml:space="preserve">Lawrence E. Leykam, </w:t>
      </w:r>
      <w:r w:rsidR="003C20EE">
        <w:rPr>
          <w:bCs/>
          <w:i/>
          <w:iCs/>
        </w:rPr>
        <w:t xml:space="preserve">The Viability of the Economic Loss Rule as a Defense to Third Party Claims for Negligent Misrepresentation Against Design </w:t>
      </w:r>
      <w:r w:rsidR="003C20EE" w:rsidRPr="00D34DE5">
        <w:rPr>
          <w:bCs/>
        </w:rPr>
        <w:t>Professions</w:t>
      </w:r>
      <w:r w:rsidR="003C20EE">
        <w:rPr>
          <w:bCs/>
        </w:rPr>
        <w:t xml:space="preserve">, </w:t>
      </w:r>
      <w:r w:rsidR="003C20EE" w:rsidRPr="00C22B87">
        <w:rPr>
          <w:bCs/>
        </w:rPr>
        <w:t>1</w:t>
      </w:r>
      <w:r w:rsidR="003C20EE">
        <w:rPr>
          <w:bCs/>
        </w:rPr>
        <w:t xml:space="preserve">3 </w:t>
      </w:r>
      <w:r w:rsidR="003C20EE" w:rsidRPr="00C22B87">
        <w:rPr>
          <w:bCs/>
        </w:rPr>
        <w:t>J</w:t>
      </w:r>
      <w:r w:rsidR="003C20EE">
        <w:rPr>
          <w:bCs/>
        </w:rPr>
        <w:t>.</w:t>
      </w:r>
      <w:r w:rsidR="003C20EE" w:rsidRPr="00C22B87">
        <w:rPr>
          <w:bCs/>
        </w:rPr>
        <w:t xml:space="preserve"> Am</w:t>
      </w:r>
      <w:r w:rsidR="003C20EE">
        <w:rPr>
          <w:bCs/>
        </w:rPr>
        <w:t>.</w:t>
      </w:r>
      <w:r w:rsidR="003C20EE" w:rsidRPr="00C22B87">
        <w:rPr>
          <w:bCs/>
        </w:rPr>
        <w:t xml:space="preserve"> Col</w:t>
      </w:r>
      <w:r w:rsidR="003C20EE">
        <w:rPr>
          <w:bCs/>
        </w:rPr>
        <w:t>l.</w:t>
      </w:r>
      <w:r w:rsidR="003C20EE" w:rsidRPr="00C22B87">
        <w:rPr>
          <w:bCs/>
        </w:rPr>
        <w:t xml:space="preserve"> Constr</w:t>
      </w:r>
      <w:r w:rsidR="003C20EE">
        <w:rPr>
          <w:bCs/>
        </w:rPr>
        <w:t>.</w:t>
      </w:r>
      <w:r w:rsidR="003C20EE" w:rsidRPr="00C22B87">
        <w:rPr>
          <w:bCs/>
        </w:rPr>
        <w:t xml:space="preserve"> La</w:t>
      </w:r>
      <w:r w:rsidR="003C20EE">
        <w:rPr>
          <w:bCs/>
        </w:rPr>
        <w:t>w</w:t>
      </w:r>
      <w:r w:rsidR="003C20EE" w:rsidRPr="00C22B87">
        <w:rPr>
          <w:bCs/>
        </w:rPr>
        <w:t>s 2</w:t>
      </w:r>
      <w:r w:rsidR="003C20EE">
        <w:rPr>
          <w:bCs/>
        </w:rPr>
        <w:t xml:space="preserve"> (Winter 2019);</w:t>
      </w:r>
      <w:r w:rsidR="00C83D1B">
        <w:rPr>
          <w:i/>
          <w:iCs/>
        </w:rPr>
        <w:t xml:space="preserve"> </w:t>
      </w:r>
      <w:r w:rsidR="00C83D1B">
        <w:t xml:space="preserve">Carl J. Circo, </w:t>
      </w:r>
      <w:r w:rsidR="00C83D1B">
        <w:rPr>
          <w:i/>
          <w:iCs/>
        </w:rPr>
        <w:t xml:space="preserve">Placing the Commercial and </w:t>
      </w:r>
      <w:r w:rsidR="00203B7B">
        <w:rPr>
          <w:i/>
          <w:iCs/>
        </w:rPr>
        <w:t>E</w:t>
      </w:r>
      <w:r w:rsidR="00C83D1B">
        <w:rPr>
          <w:i/>
          <w:iCs/>
        </w:rPr>
        <w:t xml:space="preserve">conomic Loss Problem in the Construction Industry Context, </w:t>
      </w:r>
      <w:r w:rsidR="006E41C9">
        <w:t>4</w:t>
      </w:r>
      <w:r w:rsidR="004F77E0">
        <w:t>1 J. Marshall L. Rev. 39 (2007).</w:t>
      </w:r>
      <w:r w:rsidR="00316DA5">
        <w:t xml:space="preserve"> </w:t>
      </w:r>
    </w:p>
    <w:p w14:paraId="202BF946" w14:textId="4B91DE95" w:rsidR="00EA1600" w:rsidRDefault="00EA1600" w:rsidP="00302A2D">
      <w:pPr>
        <w:keepNext/>
      </w:pPr>
      <w:r>
        <w:tab/>
        <w:t xml:space="preserve">How the </w:t>
      </w:r>
      <w:r w:rsidR="00D8629F">
        <w:t xml:space="preserve">authorities frame </w:t>
      </w:r>
      <w:r w:rsidR="00245F10">
        <w:t>the economic loss problem</w:t>
      </w:r>
      <w:r w:rsidR="00D8629F">
        <w:t xml:space="preserve"> may depend, in the first instance, on whether </w:t>
      </w:r>
      <w:r w:rsidR="00667951">
        <w:t>the</w:t>
      </w:r>
      <w:r w:rsidR="00D8629F">
        <w:t xml:space="preserve"> plaintiff and the defendant</w:t>
      </w:r>
      <w:r w:rsidR="00667951">
        <w:t xml:space="preserve"> are parties to a relevant contract.</w:t>
      </w:r>
      <w:r w:rsidR="00933322">
        <w:t xml:space="preserve"> If so, </w:t>
      </w:r>
      <w:r w:rsidR="00DA1903">
        <w:t xml:space="preserve">authorities favoring a strong economic loss defense generally </w:t>
      </w:r>
      <w:r w:rsidR="002B276B">
        <w:t>argue</w:t>
      </w:r>
      <w:r w:rsidR="008D4259">
        <w:t xml:space="preserve"> that the contract’s terms should determine the rights and obligations between contracting parties (such as the presence or absence of </w:t>
      </w:r>
      <w:r w:rsidR="003578BA">
        <w:t xml:space="preserve">warranties, indemnities, and exculpatory clauses). Even so, </w:t>
      </w:r>
      <w:r w:rsidR="00C7428A">
        <w:t>some leading authorities</w:t>
      </w:r>
      <w:r w:rsidR="00377E3A">
        <w:t xml:space="preserve"> </w:t>
      </w:r>
      <w:r w:rsidR="001313AA">
        <w:t xml:space="preserve">support the analysis that </w:t>
      </w:r>
      <w:r w:rsidR="007914ED">
        <w:t>certain</w:t>
      </w:r>
      <w:r w:rsidR="00C7428A">
        <w:t xml:space="preserve"> contractual relationship</w:t>
      </w:r>
      <w:r w:rsidR="00F06B7F">
        <w:t>s</w:t>
      </w:r>
      <w:r w:rsidR="000643F3">
        <w:t xml:space="preserve"> (such as a contract for professional design services)</w:t>
      </w:r>
      <w:r w:rsidR="00CE7A81">
        <w:t xml:space="preserve"> </w:t>
      </w:r>
      <w:r w:rsidR="00F06B7F">
        <w:t xml:space="preserve">can </w:t>
      </w:r>
      <w:r w:rsidR="00CE7A81">
        <w:t>impos</w:t>
      </w:r>
      <w:r w:rsidR="000074C8">
        <w:t>e</w:t>
      </w:r>
      <w:r w:rsidR="00CE7A81">
        <w:t xml:space="preserve"> a</w:t>
      </w:r>
      <w:r w:rsidR="006067E7">
        <w:t>n independent</w:t>
      </w:r>
      <w:r w:rsidR="00CE7A81">
        <w:t xml:space="preserve"> </w:t>
      </w:r>
      <w:r w:rsidR="00FF66F3">
        <w:t xml:space="preserve">tort </w:t>
      </w:r>
      <w:r w:rsidR="00CE7A81">
        <w:t xml:space="preserve">duty </w:t>
      </w:r>
      <w:r w:rsidR="00FF66F3">
        <w:t>on the defendant to avoid causing economic harm to the plaintiff.</w:t>
      </w:r>
      <w:r w:rsidR="00CE7A81">
        <w:t xml:space="preserve"> </w:t>
      </w:r>
      <w:r w:rsidR="00752F9B">
        <w:t xml:space="preserve">Where the dispute involves </w:t>
      </w:r>
      <w:r w:rsidR="00484BD8">
        <w:t xml:space="preserve">a </w:t>
      </w:r>
      <w:r w:rsidR="00FE6D1D">
        <w:t>plaintiff not</w:t>
      </w:r>
      <w:r w:rsidR="00893BB5">
        <w:t xml:space="preserve"> in a </w:t>
      </w:r>
      <w:r w:rsidR="00FE6D1D">
        <w:t>relevant</w:t>
      </w:r>
      <w:r w:rsidR="00893BB5">
        <w:t xml:space="preserve"> contractual relationship</w:t>
      </w:r>
      <w:r w:rsidR="00484BD8">
        <w:t xml:space="preserve"> with the defendant</w:t>
      </w:r>
      <w:r w:rsidR="00893BB5">
        <w:t xml:space="preserve">, the question becomes whether </w:t>
      </w:r>
      <w:r w:rsidR="00F36A63">
        <w:t>a court should recognize such a tort duty</w:t>
      </w:r>
      <w:r w:rsidR="006A69DF">
        <w:t xml:space="preserve"> based on the nature of the defendant’s contractual obligations </w:t>
      </w:r>
      <w:r w:rsidR="00BF2228">
        <w:t xml:space="preserve">to </w:t>
      </w:r>
      <w:r w:rsidR="00EC1280">
        <w:t>someone other than the plaintiff</w:t>
      </w:r>
      <w:r w:rsidR="00BF2228">
        <w:t xml:space="preserve">. </w:t>
      </w:r>
      <w:r w:rsidR="003A292B">
        <w:t>In both these circumstances, those who</w:t>
      </w:r>
      <w:r w:rsidR="00004DA8">
        <w:t xml:space="preserve"> promote a relatively expansive philosophy of tort liability frequently argue that whatever contractual obligations the defendant has (whether under a contract with the plaintiff or with a</w:t>
      </w:r>
      <w:r w:rsidR="00153738">
        <w:t xml:space="preserve"> third person) create </w:t>
      </w:r>
      <w:r w:rsidR="00462ACE">
        <w:t>a “special relationship” giving rise to a</w:t>
      </w:r>
      <w:r w:rsidR="00020FF0">
        <w:t xml:space="preserve"> cognizable</w:t>
      </w:r>
      <w:r w:rsidR="00462ACE">
        <w:t xml:space="preserve"> tort</w:t>
      </w:r>
      <w:r w:rsidR="004D48A0">
        <w:t xml:space="preserve"> </w:t>
      </w:r>
      <w:r w:rsidR="001652E6">
        <w:t xml:space="preserve">duty </w:t>
      </w:r>
      <w:r w:rsidR="004D48A0">
        <w:t>to avoid causing economic harm to the plaintiff.</w:t>
      </w:r>
    </w:p>
    <w:p w14:paraId="38D2EAF2" w14:textId="3AC69998" w:rsidR="00A9482A" w:rsidRDefault="00584A8F" w:rsidP="00302A2D">
      <w:pPr>
        <w:keepNext/>
      </w:pPr>
      <w:r>
        <w:tab/>
        <w:t>In my view</w:t>
      </w:r>
      <w:r w:rsidR="00CA66D3">
        <w:t xml:space="preserve">, </w:t>
      </w:r>
      <w:r w:rsidR="00D33ABF">
        <w:t>when</w:t>
      </w:r>
      <w:r w:rsidR="00AE0CB2">
        <w:t xml:space="preserve"> a defendant </w:t>
      </w:r>
      <w:r w:rsidR="00EF0CB7">
        <w:t>asserts an</w:t>
      </w:r>
      <w:r w:rsidR="00CA66D3">
        <w:t xml:space="preserve"> economic loss </w:t>
      </w:r>
      <w:r w:rsidR="00EF0CB7">
        <w:t>defense</w:t>
      </w:r>
      <w:r w:rsidR="00873BB0">
        <w:t xml:space="preserve"> </w:t>
      </w:r>
      <w:r w:rsidR="00F12292">
        <w:t>in</w:t>
      </w:r>
      <w:r w:rsidR="00873BB0">
        <w:t xml:space="preserve"> </w:t>
      </w:r>
      <w:r w:rsidR="00185A9D">
        <w:t xml:space="preserve">a </w:t>
      </w:r>
      <w:r w:rsidR="00873BB0">
        <w:t>construction industry</w:t>
      </w:r>
      <w:r w:rsidR="00F12292">
        <w:t xml:space="preserve"> case</w:t>
      </w:r>
      <w:r w:rsidR="00907AEE">
        <w:t>,</w:t>
      </w:r>
      <w:r w:rsidR="0050203B">
        <w:t xml:space="preserve"> a court should </w:t>
      </w:r>
      <w:r w:rsidR="0004301A">
        <w:t xml:space="preserve">use a highly contextual analysis </w:t>
      </w:r>
      <w:r w:rsidR="00B65A7C">
        <w:t>that</w:t>
      </w:r>
      <w:r w:rsidR="00063A3D">
        <w:t xml:space="preserve"> </w:t>
      </w:r>
      <w:r w:rsidR="00297DC6">
        <w:t xml:space="preserve">respects </w:t>
      </w:r>
      <w:r w:rsidR="000A51D0">
        <w:t>the</w:t>
      </w:r>
      <w:r w:rsidR="00FC0758">
        <w:t xml:space="preserve"> overall</w:t>
      </w:r>
      <w:r w:rsidR="000A51D0">
        <w:t xml:space="preserve"> risk allocation</w:t>
      </w:r>
      <w:r w:rsidR="00FC0758">
        <w:t xml:space="preserve"> scheme that the totality of the contractual relationships</w:t>
      </w:r>
      <w:r w:rsidR="002162F4">
        <w:t xml:space="preserve"> establishes.</w:t>
      </w:r>
      <w:r w:rsidR="000A51D0">
        <w:t xml:space="preserve"> </w:t>
      </w:r>
      <w:r w:rsidR="00C47878">
        <w:t>This approach counsels against an expansive view o</w:t>
      </w:r>
      <w:r w:rsidR="00EC37C3">
        <w:t>f</w:t>
      </w:r>
      <w:r w:rsidR="00C47878">
        <w:t xml:space="preserve"> tort</w:t>
      </w:r>
      <w:r w:rsidR="001C3178">
        <w:t xml:space="preserve"> liability among those involved in a project’s design and construction.</w:t>
      </w:r>
    </w:p>
    <w:p w14:paraId="5D1E36F7" w14:textId="77777777" w:rsidR="00BF3A48" w:rsidRDefault="009F7C9D" w:rsidP="00A9482A">
      <w:pPr>
        <w:keepNext/>
        <w:ind w:left="720"/>
      </w:pPr>
      <w:r>
        <w:t xml:space="preserve"> In part</w:t>
      </w:r>
      <w:r w:rsidR="000641FB">
        <w:t>icular, when a participant in a construction project sues another participant for causing purely economic harm, courts should assess that claim after taking into account the complete web of contractual and other relationships involved</w:t>
      </w:r>
      <w:r w:rsidR="00473113">
        <w:t>.</w:t>
      </w:r>
    </w:p>
    <w:p w14:paraId="17FD7DB4" w14:textId="2EE83FE5" w:rsidR="00BF3A48" w:rsidRDefault="00BF3A48" w:rsidP="00A9482A">
      <w:pPr>
        <w:keepNext/>
        <w:ind w:left="720"/>
      </w:pPr>
      <w:r>
        <w:tab/>
        <w:t>For example, when a contractor or subcontractor sues an engineer in tort over a mistake that breaches the engineer’s obligations under a design contract solely between the engineer and the project owner, a court should an</w:t>
      </w:r>
      <w:r w:rsidR="00871456">
        <w:t xml:space="preserve">alyze the tort claim in light of the network of relationships among all the relevant project participants. In most commercial construction projects, those relationships are complex and are subject to deliberately </w:t>
      </w:r>
      <w:r w:rsidR="00871456">
        <w:lastRenderedPageBreak/>
        <w:t>coordinated ris</w:t>
      </w:r>
      <w:r w:rsidR="00A03327">
        <w:t>k</w:t>
      </w:r>
      <w:r w:rsidR="00871456">
        <w:t>-management devices</w:t>
      </w:r>
      <w:r w:rsidR="009D18EF">
        <w:t>. . . . In other words</w:t>
      </w:r>
      <w:r w:rsidR="001E1DB5">
        <w:t>,</w:t>
      </w:r>
      <w:r w:rsidR="009D18EF">
        <w:t xml:space="preserve"> tort law should respect the overall structure of industry relationships.</w:t>
      </w:r>
    </w:p>
    <w:p w14:paraId="4EEECAE0" w14:textId="4E77E547" w:rsidR="00584A8F" w:rsidRDefault="00473113" w:rsidP="00A9482A">
      <w:pPr>
        <w:keepNext/>
        <w:ind w:left="720"/>
      </w:pPr>
      <w:r>
        <w:t xml:space="preserve">Carl J. Circo, </w:t>
      </w:r>
      <w:r>
        <w:rPr>
          <w:i/>
          <w:iCs/>
        </w:rPr>
        <w:t>Contract Law in the Construction Industry Context</w:t>
      </w:r>
      <w:r>
        <w:t xml:space="preserve"> at 155 (2020). </w:t>
      </w:r>
    </w:p>
    <w:p w14:paraId="776E5A51" w14:textId="56C52048" w:rsidR="00E86123" w:rsidRDefault="00A95C95" w:rsidP="001446CA">
      <w:pPr>
        <w:keepNext/>
      </w:pPr>
      <w:r>
        <w:tab/>
      </w:r>
      <w:r w:rsidR="00F06A39">
        <w:t>The</w:t>
      </w:r>
      <w:r>
        <w:t xml:space="preserve"> </w:t>
      </w:r>
      <w:r w:rsidR="009E480B">
        <w:t>Restatement</w:t>
      </w:r>
      <w:r w:rsidR="00086C45">
        <w:t xml:space="preserve"> </w:t>
      </w:r>
      <w:r w:rsidR="00314D68">
        <w:t>support</w:t>
      </w:r>
      <w:r w:rsidR="00F06A39">
        <w:t>s</w:t>
      </w:r>
      <w:r w:rsidR="00383675">
        <w:t xml:space="preserve"> </w:t>
      </w:r>
      <w:r w:rsidR="00592554">
        <w:t>a</w:t>
      </w:r>
      <w:r w:rsidR="00086C45">
        <w:t xml:space="preserve"> relatively</w:t>
      </w:r>
      <w:r w:rsidR="00D961D8">
        <w:t xml:space="preserve"> </w:t>
      </w:r>
      <w:r w:rsidR="00086C45">
        <w:t>narrow</w:t>
      </w:r>
      <w:r w:rsidR="00592554">
        <w:t xml:space="preserve"> </w:t>
      </w:r>
      <w:r w:rsidR="00F4105B">
        <w:t xml:space="preserve">and less contextual </w:t>
      </w:r>
      <w:r w:rsidR="00383675">
        <w:t>version of the economic loss rule that</w:t>
      </w:r>
      <w:r w:rsidR="005E201B">
        <w:t xml:space="preserve"> </w:t>
      </w:r>
      <w:r w:rsidR="00DA420E">
        <w:t xml:space="preserve">could lead </w:t>
      </w:r>
      <w:r w:rsidR="00CE4D2E">
        <w:t>courts to expand the circumstances under which construction industry participants may incur liability in tort for causing purely economic harm</w:t>
      </w:r>
      <w:r w:rsidR="00F937BD">
        <w:t xml:space="preserve">. </w:t>
      </w:r>
      <w:r w:rsidR="00F937BD">
        <w:rPr>
          <w:i/>
          <w:iCs/>
        </w:rPr>
        <w:t xml:space="preserve">See Restatement (Third) of Torts: Liab. For Econ </w:t>
      </w:r>
      <w:r w:rsidR="00F937BD" w:rsidRPr="0064774D">
        <w:t>Harm</w:t>
      </w:r>
      <w:r w:rsidR="00F937BD">
        <w:t xml:space="preserve"> §§ 3-6</w:t>
      </w:r>
      <w:r w:rsidR="00F937BD" w:rsidRPr="0064774D">
        <w:t xml:space="preserve"> (Am. Law Inst. 2020)</w:t>
      </w:r>
      <w:r w:rsidR="00F937BD">
        <w:t>.</w:t>
      </w:r>
      <w:r w:rsidR="00D72BFF">
        <w:t xml:space="preserve"> </w:t>
      </w:r>
      <w:r w:rsidR="00890F1B">
        <w:t xml:space="preserve">The Restatement, however, </w:t>
      </w:r>
      <w:r w:rsidR="00C12991">
        <w:t xml:space="preserve">relies on broadly </w:t>
      </w:r>
      <w:r w:rsidR="00314D68">
        <w:t>articulated</w:t>
      </w:r>
      <w:r w:rsidR="00C12991">
        <w:t xml:space="preserve"> principles</w:t>
      </w:r>
      <w:r w:rsidR="00F93708">
        <w:t xml:space="preserve"> of general applicability</w:t>
      </w:r>
      <w:r w:rsidR="00C12991">
        <w:t xml:space="preserve"> that do</w:t>
      </w:r>
      <w:r w:rsidR="008709A7">
        <w:t xml:space="preserve"> not</w:t>
      </w:r>
      <w:r w:rsidR="00C12991">
        <w:t xml:space="preserve"> expressly </w:t>
      </w:r>
      <w:r w:rsidR="00183EF9">
        <w:t>consider</w:t>
      </w:r>
      <w:r w:rsidR="00C12991">
        <w:t xml:space="preserve"> the un</w:t>
      </w:r>
      <w:r w:rsidR="00314D68">
        <w:t xml:space="preserve">ique circumstances </w:t>
      </w:r>
      <w:r w:rsidR="00027C20">
        <w:t>that</w:t>
      </w:r>
      <w:r w:rsidR="00E95BAD">
        <w:t xml:space="preserve"> construction industry </w:t>
      </w:r>
      <w:r w:rsidR="00F93708">
        <w:t xml:space="preserve">relationships </w:t>
      </w:r>
      <w:r w:rsidR="00B82FB4">
        <w:t xml:space="preserve">present. </w:t>
      </w:r>
      <w:r w:rsidR="00890F1B">
        <w:t>It remains to be seen whether or the extent to which the Restatement</w:t>
      </w:r>
      <w:r w:rsidR="00DF6970">
        <w:t xml:space="preserve"> will influence courts in construction industry cases.</w:t>
      </w:r>
    </w:p>
    <w:p w14:paraId="4388F106" w14:textId="352EA036" w:rsidR="0055713A" w:rsidRPr="00102F72" w:rsidRDefault="0055713A" w:rsidP="001446CA">
      <w:pPr>
        <w:keepNext/>
      </w:pPr>
      <w:r>
        <w:tab/>
      </w:r>
      <w:r w:rsidR="006C6495">
        <w:t>Because so much conflict and confusion surround the economic loss rule</w:t>
      </w:r>
      <w:r w:rsidR="00813CF8">
        <w:t xml:space="preserve"> </w:t>
      </w:r>
      <w:r w:rsidR="00F7602F">
        <w:t>in the construction industry</w:t>
      </w:r>
      <w:r w:rsidR="00F665C5" w:rsidRPr="00F665C5">
        <w:t xml:space="preserve"> </w:t>
      </w:r>
      <w:r w:rsidR="00F665C5">
        <w:t>cases</w:t>
      </w:r>
      <w:r>
        <w:t xml:space="preserve">, I recommend simply focusing attention on the circumstances that most commonly lead to difficult questions. Once students understand when an economic loss defense might arguably apply, they can engage in the debate. </w:t>
      </w:r>
      <w:r w:rsidR="00F7602F">
        <w:t>T</w:t>
      </w:r>
      <w:r>
        <w:t xml:space="preserve">he problem largely turns on alternative judicial approaches to theoretical </w:t>
      </w:r>
      <w:r w:rsidR="008878EA">
        <w:t xml:space="preserve">and policy </w:t>
      </w:r>
      <w:r>
        <w:t>considerations</w:t>
      </w:r>
      <w:r w:rsidR="00F7602F">
        <w:t xml:space="preserve">. </w:t>
      </w:r>
      <w:r w:rsidR="00585F42">
        <w:t xml:space="preserve">The following </w:t>
      </w:r>
      <w:r>
        <w:t xml:space="preserve">list of cases can serve to introduce students to differing perspectives on </w:t>
      </w:r>
      <w:r w:rsidR="000D4B8A">
        <w:t xml:space="preserve">some of </w:t>
      </w:r>
      <w:r>
        <w:t xml:space="preserve">the most controversial applications of </w:t>
      </w:r>
      <w:r w:rsidR="00A43FE8">
        <w:t xml:space="preserve">and exceptions to </w:t>
      </w:r>
      <w:r>
        <w:t>the economic loss defense in the construction industry.</w:t>
      </w:r>
      <w:r w:rsidR="008D4ED2">
        <w:t xml:space="preserve"> </w:t>
      </w:r>
      <w:r w:rsidR="00356CC2">
        <w:t xml:space="preserve">The list draws especially from </w:t>
      </w:r>
      <w:r w:rsidR="00C900D5">
        <w:t xml:space="preserve">the </w:t>
      </w:r>
      <w:r w:rsidR="008E23F8">
        <w:t>resources cited</w:t>
      </w:r>
      <w:r w:rsidR="00CE02FA">
        <w:t xml:space="preserve"> earlier in this less</w:t>
      </w:r>
      <w:r w:rsidR="00A43FE8">
        <w:t>on</w:t>
      </w:r>
      <w:r w:rsidR="00E57059">
        <w:t>, including the Restatement,</w:t>
      </w:r>
      <w:r w:rsidR="00CE02FA">
        <w:t xml:space="preserve"> and from</w:t>
      </w:r>
      <w:r w:rsidR="00D9468A">
        <w:t xml:space="preserve"> A</w:t>
      </w:r>
      <w:r w:rsidR="005706E3">
        <w:t>.</w:t>
      </w:r>
      <w:r w:rsidR="00D9468A">
        <w:t xml:space="preserve"> Holt Gwyn &amp; Luke J. Farley, Sr., </w:t>
      </w:r>
      <w:r w:rsidR="00D9468A">
        <w:rPr>
          <w:i/>
          <w:iCs/>
        </w:rPr>
        <w:t>The Economic Loss Rule in Construction Law</w:t>
      </w:r>
      <w:r w:rsidR="00CE02FA">
        <w:rPr>
          <w:i/>
          <w:iCs/>
        </w:rPr>
        <w:t xml:space="preserve">, in </w:t>
      </w:r>
      <w:r w:rsidR="00CE02FA" w:rsidRPr="002A78B2">
        <w:rPr>
          <w:i/>
          <w:iCs/>
        </w:rPr>
        <w:t>Construction Law</w:t>
      </w:r>
      <w:r w:rsidR="00CE02FA">
        <w:t xml:space="preserve"> (2d ed. Carol J. Patterson et al., eds, 2019), at </w:t>
      </w:r>
      <w:r w:rsidR="00465662">
        <w:t>653</w:t>
      </w:r>
      <w:r w:rsidR="00B51885">
        <w:t xml:space="preserve"> (which </w:t>
      </w:r>
      <w:r w:rsidR="00F77F2E">
        <w:t xml:space="preserve">includes extensive excerpts </w:t>
      </w:r>
      <w:r w:rsidR="001D1C6F">
        <w:t>from</w:t>
      </w:r>
      <w:r w:rsidR="00F77F2E">
        <w:t xml:space="preserve"> other cases as well)</w:t>
      </w:r>
      <w:r w:rsidR="00465662">
        <w:t xml:space="preserve">. </w:t>
      </w:r>
      <w:r>
        <w:t>Some instructors may wish to delve more deeply into a specific jurisdiction’s cases</w:t>
      </w:r>
      <w:r w:rsidR="0055511C">
        <w:t>.</w:t>
      </w:r>
    </w:p>
    <w:p w14:paraId="5F8BD1BB" w14:textId="3A404245" w:rsidR="00E86123" w:rsidRPr="007E4573" w:rsidRDefault="00385308" w:rsidP="00E86123">
      <w:pPr>
        <w:keepNext/>
        <w:rPr>
          <w:i/>
          <w:iCs/>
        </w:rPr>
      </w:pPr>
      <w:r>
        <w:rPr>
          <w:i/>
          <w:iCs/>
        </w:rPr>
        <w:t>Sample cases</w:t>
      </w:r>
    </w:p>
    <w:p w14:paraId="39E2BA4F" w14:textId="609FFD83" w:rsidR="00B17EF3" w:rsidRDefault="00B17EF3" w:rsidP="007D636E">
      <w:pPr>
        <w:pStyle w:val="ListParagraph"/>
        <w:keepNext/>
        <w:numPr>
          <w:ilvl w:val="0"/>
          <w:numId w:val="1"/>
        </w:numPr>
      </w:pPr>
      <w:r w:rsidRPr="00993D47">
        <w:t>Com</w:t>
      </w:r>
      <w:r>
        <w:t>mercial</w:t>
      </w:r>
      <w:r w:rsidRPr="00993D47">
        <w:t xml:space="preserve"> Painting Co. Inc. v. Weitz Co. LLC, 676 S.W.3d 527 (Tenn. 2023)</w:t>
      </w:r>
      <w:r>
        <w:t xml:space="preserve"> (holding that the economic loss rule is limited to products liability cases and does not apply to services contracts, such as a contract between a general contractor and </w:t>
      </w:r>
      <w:r w:rsidR="00FE5182">
        <w:t>its</w:t>
      </w:r>
      <w:r>
        <w:t xml:space="preserve"> subcontractor; two justices filed a</w:t>
      </w:r>
      <w:r w:rsidR="006D06EF">
        <w:t xml:space="preserve"> thorough </w:t>
      </w:r>
      <w:r>
        <w:t>dissenting opinion).</w:t>
      </w:r>
    </w:p>
    <w:p w14:paraId="2DEA7F75" w14:textId="37BBCFA6" w:rsidR="007D636E" w:rsidRDefault="007D636E" w:rsidP="007D636E">
      <w:pPr>
        <w:pStyle w:val="ListParagraph"/>
        <w:keepNext/>
        <w:numPr>
          <w:ilvl w:val="0"/>
          <w:numId w:val="1"/>
        </w:numPr>
      </w:pPr>
      <w:r w:rsidRPr="00D448F2">
        <w:t>Bilt-Rite Contractors, Inc. v. The Architectural Studio, 866 A.2d 270 (</w:t>
      </w:r>
      <w:r w:rsidR="009B4740">
        <w:t xml:space="preserve">Pa. </w:t>
      </w:r>
      <w:r w:rsidRPr="00D448F2">
        <w:t>2005)</w:t>
      </w:r>
      <w:r>
        <w:t xml:space="preserve"> (economic loss rule no bar to general contractor’s negligent misrepresentation claim against project architect</w:t>
      </w:r>
      <w:r w:rsidR="005F0280">
        <w:t xml:space="preserve"> </w:t>
      </w:r>
      <w:r w:rsidR="00A518C3">
        <w:t>based on contractor’s alleged reliance on architect</w:t>
      </w:r>
      <w:r w:rsidR="00BF2723">
        <w:t>’</w:t>
      </w:r>
      <w:r w:rsidR="00A518C3">
        <w:t>s plans</w:t>
      </w:r>
      <w:r>
        <w:t>)</w:t>
      </w:r>
      <w:r w:rsidR="002A68EF">
        <w:rPr>
          <w:i/>
          <w:iCs/>
        </w:rPr>
        <w:t>;</w:t>
      </w:r>
      <w:r w:rsidR="00B109A5">
        <w:rPr>
          <w:i/>
          <w:iCs/>
        </w:rPr>
        <w:t xml:space="preserve"> </w:t>
      </w:r>
      <w:r w:rsidR="002A68EF" w:rsidRPr="001B40F9">
        <w:rPr>
          <w:i/>
          <w:iCs/>
        </w:rPr>
        <w:t xml:space="preserve">contra </w:t>
      </w:r>
      <w:r w:rsidR="002A68EF" w:rsidRPr="004A6679">
        <w:t>Balfour Beatty Infrastructure, Inc. v. Rummel Klepper &amp; Kahl, LLP, 155 A.3d 445 (</w:t>
      </w:r>
      <w:r w:rsidR="002A68EF">
        <w:t xml:space="preserve">Md. </w:t>
      </w:r>
      <w:r w:rsidR="002A68EF" w:rsidRPr="004A6679">
        <w:t>2017)</w:t>
      </w:r>
      <w:r w:rsidR="00A518C3">
        <w:t>.</w:t>
      </w:r>
    </w:p>
    <w:p w14:paraId="6889783C" w14:textId="5B9B5172" w:rsidR="00800BEB" w:rsidRDefault="00800BEB" w:rsidP="00B87977">
      <w:pPr>
        <w:pStyle w:val="ListParagraph"/>
        <w:keepNext/>
        <w:numPr>
          <w:ilvl w:val="0"/>
          <w:numId w:val="1"/>
        </w:numPr>
      </w:pPr>
      <w:r>
        <w:t xml:space="preserve">BRW, Inc. </w:t>
      </w:r>
      <w:r w:rsidR="008E3A50">
        <w:t>v</w:t>
      </w:r>
      <w:r>
        <w:t>. Dufficy &amp; Sons, Inc., 99 P.3</w:t>
      </w:r>
      <w:r w:rsidR="00604874">
        <w:t>d 66, 73 (Colo. 2004) (</w:t>
      </w:r>
      <w:r w:rsidR="00F96F61">
        <w:t xml:space="preserve">in </w:t>
      </w:r>
      <w:r w:rsidR="000D0A13">
        <w:t>uphold</w:t>
      </w:r>
      <w:r w:rsidR="00F96F61">
        <w:t>ing</w:t>
      </w:r>
      <w:r w:rsidR="000D0A13">
        <w:t xml:space="preserve"> </w:t>
      </w:r>
      <w:r w:rsidR="00D31201">
        <w:t>an</w:t>
      </w:r>
      <w:r w:rsidR="006C1109">
        <w:t xml:space="preserve"> economic loss</w:t>
      </w:r>
      <w:r w:rsidR="00D31201">
        <w:t xml:space="preserve"> defense to a subcontractor’s</w:t>
      </w:r>
      <w:r w:rsidR="007C4A73">
        <w:t xml:space="preserve"> claims for cost</w:t>
      </w:r>
      <w:r w:rsidR="007D4576">
        <w:t xml:space="preserve"> </w:t>
      </w:r>
      <w:r w:rsidR="00200002">
        <w:t>overruns</w:t>
      </w:r>
      <w:r w:rsidR="007C4A73">
        <w:t xml:space="preserve"> allegedly attributable </w:t>
      </w:r>
      <w:r w:rsidR="003720B2">
        <w:t xml:space="preserve">to the </w:t>
      </w:r>
      <w:r w:rsidR="007C4A73">
        <w:t>negligence</w:t>
      </w:r>
      <w:r w:rsidR="003B2E58">
        <w:t xml:space="preserve"> or misrepresentations</w:t>
      </w:r>
      <w:r w:rsidR="002F7834">
        <w:t xml:space="preserve"> of the project owner’s </w:t>
      </w:r>
      <w:r w:rsidR="00D20F2A">
        <w:t>design</w:t>
      </w:r>
      <w:r w:rsidR="005C2C6F">
        <w:t xml:space="preserve"> consultants</w:t>
      </w:r>
      <w:r w:rsidR="00F96F61">
        <w:t xml:space="preserve">, the court emphasized </w:t>
      </w:r>
      <w:r w:rsidR="00200002">
        <w:t xml:space="preserve">the “network of </w:t>
      </w:r>
      <w:r w:rsidR="00200002">
        <w:lastRenderedPageBreak/>
        <w:t>agreements of which all parties had notice” that defined the commercial relationships</w:t>
      </w:r>
      <w:r w:rsidR="00200002">
        <w:t xml:space="preserve"> involved</w:t>
      </w:r>
      <w:r w:rsidR="005F2546">
        <w:t>).</w:t>
      </w:r>
    </w:p>
    <w:p w14:paraId="7D54D1FA" w14:textId="2EC7B6BF" w:rsidR="00AB0A5B" w:rsidRDefault="00AB0A5B" w:rsidP="00B87977">
      <w:pPr>
        <w:pStyle w:val="ListParagraph"/>
        <w:keepNext/>
        <w:numPr>
          <w:ilvl w:val="0"/>
          <w:numId w:val="1"/>
        </w:numPr>
      </w:pPr>
      <w:r w:rsidRPr="0077012B">
        <w:t>Town of Alma v. A</w:t>
      </w:r>
      <w:r w:rsidR="00110A08">
        <w:t>ZCO</w:t>
      </w:r>
      <w:r w:rsidRPr="0077012B">
        <w:t xml:space="preserve"> Construction, Inc., 10 P.3d 1256 (Colo. 2000)</w:t>
      </w:r>
      <w:r>
        <w:t xml:space="preserve"> (project owner cannot recover in tort for contractor’s negligent construction; owner’s rights against its contractor for defective construction limited by terms of the contractual warranty)</w:t>
      </w:r>
      <w:r>
        <w:t>.</w:t>
      </w:r>
    </w:p>
    <w:p w14:paraId="3434E551" w14:textId="435DEE73" w:rsidR="00B03C02" w:rsidRDefault="00B03C02" w:rsidP="00B03C02">
      <w:pPr>
        <w:pStyle w:val="ListParagraph"/>
        <w:keepNext/>
        <w:numPr>
          <w:ilvl w:val="0"/>
          <w:numId w:val="1"/>
        </w:numPr>
      </w:pPr>
      <w:r>
        <w:t>Berschauer/Phillips Construction Co. v. Seattle Sch. Dist., 881 P2d 986 (Wash. 1994)</w:t>
      </w:r>
      <w:r w:rsidR="00200002">
        <w:t xml:space="preserve"> </w:t>
      </w:r>
      <w:r>
        <w:t xml:space="preserve">(holding that the economic loss doctrine barred a </w:t>
      </w:r>
      <w:r w:rsidRPr="0051386E">
        <w:t xml:space="preserve">contractor </w:t>
      </w:r>
      <w:r>
        <w:t>from recovering from</w:t>
      </w:r>
      <w:r w:rsidRPr="0051386E">
        <w:t xml:space="preserve"> the owner's architect and its structural engineering consultant </w:t>
      </w:r>
      <w:r>
        <w:t>for</w:t>
      </w:r>
      <w:r w:rsidRPr="0051386E">
        <w:t xml:space="preserve"> negligence in design and inspection</w:t>
      </w:r>
      <w:r>
        <w:t xml:space="preserve"> that allegedly</w:t>
      </w:r>
      <w:r w:rsidRPr="0051386E">
        <w:t xml:space="preserve"> caused project delays</w:t>
      </w:r>
      <w:r>
        <w:t xml:space="preserve">, based in part on a highly contextual </w:t>
      </w:r>
      <w:r w:rsidR="00DA0E5D">
        <w:t>analysi</w:t>
      </w:r>
      <w:r w:rsidR="00DE3D16">
        <w:t>s</w:t>
      </w:r>
      <w:r>
        <w:t xml:space="preserve"> that considered the overall risk allocation scheme of interrelated contracts).</w:t>
      </w:r>
    </w:p>
    <w:p w14:paraId="15FEF10B" w14:textId="241C051F" w:rsidR="00D11D07" w:rsidRDefault="00D11D07" w:rsidP="00B03C02">
      <w:pPr>
        <w:pStyle w:val="ListParagraph"/>
        <w:keepNext/>
        <w:numPr>
          <w:ilvl w:val="0"/>
          <w:numId w:val="1"/>
        </w:numPr>
      </w:pPr>
      <w:r>
        <w:t>Council of Co-Owners Atlantis Condominium v. Whiting-Turner Contracting Co., 51</w:t>
      </w:r>
      <w:r w:rsidR="00195854">
        <w:t>7</w:t>
      </w:r>
      <w:r>
        <w:t xml:space="preserve"> A.2d 336 (Md. 1986) (project’s general contractor and architect potentially liable to condominium purchasers for cost of repairing dangerous conditions allegedly attributable to negligent design and construction).</w:t>
      </w:r>
    </w:p>
    <w:p w14:paraId="4466EF1D" w14:textId="41EA1FF7" w:rsidR="00ED6F53" w:rsidRPr="00646C07" w:rsidRDefault="00ED6F53" w:rsidP="00B87977">
      <w:pPr>
        <w:pStyle w:val="ListParagraph"/>
        <w:keepNext/>
        <w:numPr>
          <w:ilvl w:val="0"/>
          <w:numId w:val="1"/>
        </w:numPr>
      </w:pPr>
      <w:r w:rsidRPr="00667A8B">
        <w:t>J'Aire Corp. v. Gregory, 598 P.2d 60 (</w:t>
      </w:r>
      <w:r w:rsidR="006A4EE0">
        <w:t xml:space="preserve"> Ca.</w:t>
      </w:r>
      <w:r w:rsidRPr="00667A8B">
        <w:t>1979)</w:t>
      </w:r>
      <w:r>
        <w:t xml:space="preserve"> (holding that a project’s general contractor could be liable to the project owner’s tenant for loss of business attributable to delay in completing the project).</w:t>
      </w:r>
    </w:p>
    <w:sectPr w:rsidR="00ED6F53" w:rsidRPr="00646C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D2F9" w14:textId="77777777" w:rsidR="00CB4801" w:rsidRDefault="00CB4801" w:rsidP="00E86123">
      <w:pPr>
        <w:spacing w:after="0" w:line="240" w:lineRule="auto"/>
      </w:pPr>
      <w:r>
        <w:separator/>
      </w:r>
    </w:p>
  </w:endnote>
  <w:endnote w:type="continuationSeparator" w:id="0">
    <w:p w14:paraId="64057F8F" w14:textId="77777777" w:rsidR="00CB4801" w:rsidRDefault="00CB4801" w:rsidP="00E8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157815"/>
      <w:docPartObj>
        <w:docPartGallery w:val="Page Numbers (Bottom of Page)"/>
        <w:docPartUnique/>
      </w:docPartObj>
    </w:sdtPr>
    <w:sdtEndPr>
      <w:rPr>
        <w:noProof/>
      </w:rPr>
    </w:sdtEndPr>
    <w:sdtContent>
      <w:p w14:paraId="7021E5A6" w14:textId="7E7DD739" w:rsidR="00E86123" w:rsidRDefault="00E861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8BE28" w14:textId="77777777" w:rsidR="00E86123" w:rsidRDefault="00E86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3F4D" w14:textId="77777777" w:rsidR="00CB4801" w:rsidRDefault="00CB4801" w:rsidP="00E86123">
      <w:pPr>
        <w:spacing w:after="0" w:line="240" w:lineRule="auto"/>
      </w:pPr>
      <w:r>
        <w:separator/>
      </w:r>
    </w:p>
  </w:footnote>
  <w:footnote w:type="continuationSeparator" w:id="0">
    <w:p w14:paraId="3E9D43B2" w14:textId="77777777" w:rsidR="00CB4801" w:rsidRDefault="00CB4801" w:rsidP="00E86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52AE" w14:textId="644A6464" w:rsidR="00E86123" w:rsidRDefault="00E86123">
    <w:pPr>
      <w:pStyle w:val="Header"/>
    </w:pPr>
    <w:r>
      <w:t>Carl J. Circo © March 2026</w:t>
    </w:r>
  </w:p>
  <w:p w14:paraId="7333BB87" w14:textId="77777777" w:rsidR="00E86123" w:rsidRDefault="00E86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A7C"/>
    <w:multiLevelType w:val="hybridMultilevel"/>
    <w:tmpl w:val="2E32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142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23"/>
    <w:rsid w:val="00004DA8"/>
    <w:rsid w:val="000074C8"/>
    <w:rsid w:val="00011108"/>
    <w:rsid w:val="00020FF0"/>
    <w:rsid w:val="00022287"/>
    <w:rsid w:val="00027C20"/>
    <w:rsid w:val="0003626B"/>
    <w:rsid w:val="000375C3"/>
    <w:rsid w:val="0004301A"/>
    <w:rsid w:val="000448C9"/>
    <w:rsid w:val="00054303"/>
    <w:rsid w:val="00062FD1"/>
    <w:rsid w:val="00063A3D"/>
    <w:rsid w:val="000641FB"/>
    <w:rsid w:val="000643F3"/>
    <w:rsid w:val="00066D2F"/>
    <w:rsid w:val="0008533B"/>
    <w:rsid w:val="00086C45"/>
    <w:rsid w:val="00094E48"/>
    <w:rsid w:val="00096129"/>
    <w:rsid w:val="000A01D5"/>
    <w:rsid w:val="000A4315"/>
    <w:rsid w:val="000A51D0"/>
    <w:rsid w:val="000B6A90"/>
    <w:rsid w:val="000B75C8"/>
    <w:rsid w:val="000C14D8"/>
    <w:rsid w:val="000C30BF"/>
    <w:rsid w:val="000D0A13"/>
    <w:rsid w:val="000D2E79"/>
    <w:rsid w:val="000D4B8A"/>
    <w:rsid w:val="000D51F2"/>
    <w:rsid w:val="000E2597"/>
    <w:rsid w:val="000E3B39"/>
    <w:rsid w:val="001050A3"/>
    <w:rsid w:val="00107E8C"/>
    <w:rsid w:val="00110A08"/>
    <w:rsid w:val="00122725"/>
    <w:rsid w:val="001243DC"/>
    <w:rsid w:val="001313AA"/>
    <w:rsid w:val="00132C03"/>
    <w:rsid w:val="001446CA"/>
    <w:rsid w:val="00153738"/>
    <w:rsid w:val="00154522"/>
    <w:rsid w:val="00163A5F"/>
    <w:rsid w:val="00164CF7"/>
    <w:rsid w:val="001652E6"/>
    <w:rsid w:val="00171FED"/>
    <w:rsid w:val="00174E05"/>
    <w:rsid w:val="00183EF9"/>
    <w:rsid w:val="00184039"/>
    <w:rsid w:val="00185A9D"/>
    <w:rsid w:val="00187657"/>
    <w:rsid w:val="001911FD"/>
    <w:rsid w:val="00195854"/>
    <w:rsid w:val="00197F85"/>
    <w:rsid w:val="001B0FF7"/>
    <w:rsid w:val="001C2EDD"/>
    <w:rsid w:val="001C3178"/>
    <w:rsid w:val="001C566D"/>
    <w:rsid w:val="001D1C6F"/>
    <w:rsid w:val="001D376E"/>
    <w:rsid w:val="001E1DB5"/>
    <w:rsid w:val="001E3B01"/>
    <w:rsid w:val="00200002"/>
    <w:rsid w:val="00203B7B"/>
    <w:rsid w:val="00214DDF"/>
    <w:rsid w:val="002162F4"/>
    <w:rsid w:val="00245642"/>
    <w:rsid w:val="00245F10"/>
    <w:rsid w:val="0024651E"/>
    <w:rsid w:val="00252897"/>
    <w:rsid w:val="00253D32"/>
    <w:rsid w:val="002702A6"/>
    <w:rsid w:val="002712C8"/>
    <w:rsid w:val="0027157A"/>
    <w:rsid w:val="00272989"/>
    <w:rsid w:val="002747D4"/>
    <w:rsid w:val="0028083E"/>
    <w:rsid w:val="00286758"/>
    <w:rsid w:val="00287540"/>
    <w:rsid w:val="0029580A"/>
    <w:rsid w:val="00297DC6"/>
    <w:rsid w:val="002A351A"/>
    <w:rsid w:val="002A68AE"/>
    <w:rsid w:val="002A68EF"/>
    <w:rsid w:val="002B1B37"/>
    <w:rsid w:val="002B276B"/>
    <w:rsid w:val="002B33F8"/>
    <w:rsid w:val="002C1790"/>
    <w:rsid w:val="002C1DBE"/>
    <w:rsid w:val="002C301F"/>
    <w:rsid w:val="002C3CC8"/>
    <w:rsid w:val="002D5740"/>
    <w:rsid w:val="002E159A"/>
    <w:rsid w:val="002E18FD"/>
    <w:rsid w:val="002E2481"/>
    <w:rsid w:val="002E2541"/>
    <w:rsid w:val="002F7834"/>
    <w:rsid w:val="003025EF"/>
    <w:rsid w:val="00302A2D"/>
    <w:rsid w:val="0031417C"/>
    <w:rsid w:val="003144A1"/>
    <w:rsid w:val="00314D68"/>
    <w:rsid w:val="00316DA5"/>
    <w:rsid w:val="00321B5E"/>
    <w:rsid w:val="00333DD8"/>
    <w:rsid w:val="00337E1E"/>
    <w:rsid w:val="00341D0B"/>
    <w:rsid w:val="003459B1"/>
    <w:rsid w:val="00350988"/>
    <w:rsid w:val="00356CC2"/>
    <w:rsid w:val="003578BA"/>
    <w:rsid w:val="003720B2"/>
    <w:rsid w:val="00374E29"/>
    <w:rsid w:val="00377E3A"/>
    <w:rsid w:val="00383675"/>
    <w:rsid w:val="00385308"/>
    <w:rsid w:val="003857FB"/>
    <w:rsid w:val="003A292B"/>
    <w:rsid w:val="003B0130"/>
    <w:rsid w:val="003B01B2"/>
    <w:rsid w:val="003B0E60"/>
    <w:rsid w:val="003B2E58"/>
    <w:rsid w:val="003B3B89"/>
    <w:rsid w:val="003C1CFD"/>
    <w:rsid w:val="003C20EE"/>
    <w:rsid w:val="003C656F"/>
    <w:rsid w:val="003D5B71"/>
    <w:rsid w:val="004029D3"/>
    <w:rsid w:val="004146C5"/>
    <w:rsid w:val="00462104"/>
    <w:rsid w:val="00462ACE"/>
    <w:rsid w:val="00463764"/>
    <w:rsid w:val="00465662"/>
    <w:rsid w:val="00467EE7"/>
    <w:rsid w:val="00473113"/>
    <w:rsid w:val="00484262"/>
    <w:rsid w:val="00484BD8"/>
    <w:rsid w:val="00492EDF"/>
    <w:rsid w:val="004A3B77"/>
    <w:rsid w:val="004A4A58"/>
    <w:rsid w:val="004B0182"/>
    <w:rsid w:val="004D48A0"/>
    <w:rsid w:val="004F3F52"/>
    <w:rsid w:val="004F77E0"/>
    <w:rsid w:val="0050203B"/>
    <w:rsid w:val="0051386E"/>
    <w:rsid w:val="00517602"/>
    <w:rsid w:val="0053110D"/>
    <w:rsid w:val="00537CE8"/>
    <w:rsid w:val="0055511C"/>
    <w:rsid w:val="00555221"/>
    <w:rsid w:val="0055713A"/>
    <w:rsid w:val="005706E3"/>
    <w:rsid w:val="005714AD"/>
    <w:rsid w:val="00584A8F"/>
    <w:rsid w:val="00585F42"/>
    <w:rsid w:val="00592554"/>
    <w:rsid w:val="005946D9"/>
    <w:rsid w:val="005A0E51"/>
    <w:rsid w:val="005A69D5"/>
    <w:rsid w:val="005B500A"/>
    <w:rsid w:val="005C2C6F"/>
    <w:rsid w:val="005E201B"/>
    <w:rsid w:val="005F0280"/>
    <w:rsid w:val="005F1BB9"/>
    <w:rsid w:val="005F1E66"/>
    <w:rsid w:val="005F2546"/>
    <w:rsid w:val="00603BA3"/>
    <w:rsid w:val="00604874"/>
    <w:rsid w:val="006067E7"/>
    <w:rsid w:val="00644B02"/>
    <w:rsid w:val="00646C07"/>
    <w:rsid w:val="0064774D"/>
    <w:rsid w:val="006630FA"/>
    <w:rsid w:val="006645A5"/>
    <w:rsid w:val="00667951"/>
    <w:rsid w:val="006774BF"/>
    <w:rsid w:val="00686F86"/>
    <w:rsid w:val="00697293"/>
    <w:rsid w:val="006A4EE0"/>
    <w:rsid w:val="006A69DF"/>
    <w:rsid w:val="006B2D5B"/>
    <w:rsid w:val="006C1109"/>
    <w:rsid w:val="006C3843"/>
    <w:rsid w:val="006C6495"/>
    <w:rsid w:val="006D06EF"/>
    <w:rsid w:val="006E41C9"/>
    <w:rsid w:val="006E41EA"/>
    <w:rsid w:val="006F3C8D"/>
    <w:rsid w:val="006F7BD2"/>
    <w:rsid w:val="0070222E"/>
    <w:rsid w:val="00702E03"/>
    <w:rsid w:val="00712C34"/>
    <w:rsid w:val="0071787B"/>
    <w:rsid w:val="007456A9"/>
    <w:rsid w:val="00752F9B"/>
    <w:rsid w:val="00761931"/>
    <w:rsid w:val="00774721"/>
    <w:rsid w:val="007914ED"/>
    <w:rsid w:val="007A1996"/>
    <w:rsid w:val="007B3BAF"/>
    <w:rsid w:val="007C4A73"/>
    <w:rsid w:val="007C77F4"/>
    <w:rsid w:val="007D4576"/>
    <w:rsid w:val="007D636E"/>
    <w:rsid w:val="00800BEB"/>
    <w:rsid w:val="00803C00"/>
    <w:rsid w:val="00813CF8"/>
    <w:rsid w:val="00813E22"/>
    <w:rsid w:val="00824C57"/>
    <w:rsid w:val="00856316"/>
    <w:rsid w:val="00866EAA"/>
    <w:rsid w:val="008709A7"/>
    <w:rsid w:val="00871456"/>
    <w:rsid w:val="00873BB0"/>
    <w:rsid w:val="008765BE"/>
    <w:rsid w:val="008843E7"/>
    <w:rsid w:val="008878EA"/>
    <w:rsid w:val="00890F1B"/>
    <w:rsid w:val="00893BB5"/>
    <w:rsid w:val="00897CBE"/>
    <w:rsid w:val="008A0E82"/>
    <w:rsid w:val="008A353F"/>
    <w:rsid w:val="008D2CE2"/>
    <w:rsid w:val="008D4259"/>
    <w:rsid w:val="008D437C"/>
    <w:rsid w:val="008D4ED2"/>
    <w:rsid w:val="008D516B"/>
    <w:rsid w:val="008E148B"/>
    <w:rsid w:val="008E23F8"/>
    <w:rsid w:val="008E3A50"/>
    <w:rsid w:val="008F360B"/>
    <w:rsid w:val="008F4624"/>
    <w:rsid w:val="008F49C3"/>
    <w:rsid w:val="00907AEE"/>
    <w:rsid w:val="009132BB"/>
    <w:rsid w:val="00914243"/>
    <w:rsid w:val="0091615B"/>
    <w:rsid w:val="00916944"/>
    <w:rsid w:val="00923DD0"/>
    <w:rsid w:val="00924651"/>
    <w:rsid w:val="00933322"/>
    <w:rsid w:val="00952ABF"/>
    <w:rsid w:val="00953200"/>
    <w:rsid w:val="00960B7A"/>
    <w:rsid w:val="00966191"/>
    <w:rsid w:val="009B4740"/>
    <w:rsid w:val="009B6144"/>
    <w:rsid w:val="009B6447"/>
    <w:rsid w:val="009C192B"/>
    <w:rsid w:val="009D18EF"/>
    <w:rsid w:val="009E09F8"/>
    <w:rsid w:val="009E1886"/>
    <w:rsid w:val="009E480B"/>
    <w:rsid w:val="009E6E15"/>
    <w:rsid w:val="009F236A"/>
    <w:rsid w:val="009F7C9D"/>
    <w:rsid w:val="00A03327"/>
    <w:rsid w:val="00A04C08"/>
    <w:rsid w:val="00A04DD3"/>
    <w:rsid w:val="00A058AB"/>
    <w:rsid w:val="00A20F35"/>
    <w:rsid w:val="00A33745"/>
    <w:rsid w:val="00A366A5"/>
    <w:rsid w:val="00A43FE8"/>
    <w:rsid w:val="00A518C3"/>
    <w:rsid w:val="00A7737B"/>
    <w:rsid w:val="00A81308"/>
    <w:rsid w:val="00A84DF8"/>
    <w:rsid w:val="00A939B2"/>
    <w:rsid w:val="00A94250"/>
    <w:rsid w:val="00A9482A"/>
    <w:rsid w:val="00A95C95"/>
    <w:rsid w:val="00AB0A5B"/>
    <w:rsid w:val="00AB2199"/>
    <w:rsid w:val="00AC6028"/>
    <w:rsid w:val="00AD174F"/>
    <w:rsid w:val="00AD59F5"/>
    <w:rsid w:val="00AE0CB2"/>
    <w:rsid w:val="00AF1D77"/>
    <w:rsid w:val="00B03C02"/>
    <w:rsid w:val="00B109A5"/>
    <w:rsid w:val="00B158D2"/>
    <w:rsid w:val="00B17EF3"/>
    <w:rsid w:val="00B246A4"/>
    <w:rsid w:val="00B51885"/>
    <w:rsid w:val="00B6167E"/>
    <w:rsid w:val="00B65A7C"/>
    <w:rsid w:val="00B66C2F"/>
    <w:rsid w:val="00B76FD1"/>
    <w:rsid w:val="00B82FB4"/>
    <w:rsid w:val="00B8354C"/>
    <w:rsid w:val="00B84985"/>
    <w:rsid w:val="00B87977"/>
    <w:rsid w:val="00B97370"/>
    <w:rsid w:val="00BA6DF4"/>
    <w:rsid w:val="00BB1C41"/>
    <w:rsid w:val="00BC0D99"/>
    <w:rsid w:val="00BD19EF"/>
    <w:rsid w:val="00BD59FD"/>
    <w:rsid w:val="00BD5E7C"/>
    <w:rsid w:val="00BF076E"/>
    <w:rsid w:val="00BF2228"/>
    <w:rsid w:val="00BF2723"/>
    <w:rsid w:val="00BF3A48"/>
    <w:rsid w:val="00BF6BEA"/>
    <w:rsid w:val="00C0422B"/>
    <w:rsid w:val="00C05514"/>
    <w:rsid w:val="00C05FF1"/>
    <w:rsid w:val="00C12991"/>
    <w:rsid w:val="00C14980"/>
    <w:rsid w:val="00C23F01"/>
    <w:rsid w:val="00C41904"/>
    <w:rsid w:val="00C46174"/>
    <w:rsid w:val="00C47878"/>
    <w:rsid w:val="00C5396C"/>
    <w:rsid w:val="00C618F2"/>
    <w:rsid w:val="00C66418"/>
    <w:rsid w:val="00C7428A"/>
    <w:rsid w:val="00C83D1B"/>
    <w:rsid w:val="00C900D5"/>
    <w:rsid w:val="00C908F8"/>
    <w:rsid w:val="00C92B2D"/>
    <w:rsid w:val="00CA66D3"/>
    <w:rsid w:val="00CB4801"/>
    <w:rsid w:val="00CC04FE"/>
    <w:rsid w:val="00CC3306"/>
    <w:rsid w:val="00CD67BB"/>
    <w:rsid w:val="00CE02FA"/>
    <w:rsid w:val="00CE4D2E"/>
    <w:rsid w:val="00CE7A81"/>
    <w:rsid w:val="00D11BBB"/>
    <w:rsid w:val="00D11D07"/>
    <w:rsid w:val="00D15DE8"/>
    <w:rsid w:val="00D1624B"/>
    <w:rsid w:val="00D20F2A"/>
    <w:rsid w:val="00D24647"/>
    <w:rsid w:val="00D31201"/>
    <w:rsid w:val="00D33ABF"/>
    <w:rsid w:val="00D60FB9"/>
    <w:rsid w:val="00D64A8E"/>
    <w:rsid w:val="00D70245"/>
    <w:rsid w:val="00D72BFF"/>
    <w:rsid w:val="00D85644"/>
    <w:rsid w:val="00D8629F"/>
    <w:rsid w:val="00D9245B"/>
    <w:rsid w:val="00D94544"/>
    <w:rsid w:val="00D9468A"/>
    <w:rsid w:val="00D961D8"/>
    <w:rsid w:val="00DA0E5D"/>
    <w:rsid w:val="00DA1903"/>
    <w:rsid w:val="00DA420E"/>
    <w:rsid w:val="00DB634F"/>
    <w:rsid w:val="00DB6AAC"/>
    <w:rsid w:val="00DC6216"/>
    <w:rsid w:val="00DE3D16"/>
    <w:rsid w:val="00DF3401"/>
    <w:rsid w:val="00DF38C0"/>
    <w:rsid w:val="00DF6970"/>
    <w:rsid w:val="00E042EC"/>
    <w:rsid w:val="00E06E43"/>
    <w:rsid w:val="00E11D78"/>
    <w:rsid w:val="00E16BAE"/>
    <w:rsid w:val="00E26FC4"/>
    <w:rsid w:val="00E53BF3"/>
    <w:rsid w:val="00E57059"/>
    <w:rsid w:val="00E66BDF"/>
    <w:rsid w:val="00E76362"/>
    <w:rsid w:val="00E76B74"/>
    <w:rsid w:val="00E80840"/>
    <w:rsid w:val="00E8503D"/>
    <w:rsid w:val="00E86123"/>
    <w:rsid w:val="00E94173"/>
    <w:rsid w:val="00E949FB"/>
    <w:rsid w:val="00E95BAD"/>
    <w:rsid w:val="00E97860"/>
    <w:rsid w:val="00EA1600"/>
    <w:rsid w:val="00EA3CAF"/>
    <w:rsid w:val="00EB4FD6"/>
    <w:rsid w:val="00EC1280"/>
    <w:rsid w:val="00EC1A31"/>
    <w:rsid w:val="00EC37C3"/>
    <w:rsid w:val="00ED3D48"/>
    <w:rsid w:val="00ED65FF"/>
    <w:rsid w:val="00ED6F53"/>
    <w:rsid w:val="00ED7547"/>
    <w:rsid w:val="00EE0C08"/>
    <w:rsid w:val="00EF0A82"/>
    <w:rsid w:val="00EF0CB7"/>
    <w:rsid w:val="00EF22F3"/>
    <w:rsid w:val="00EF2B37"/>
    <w:rsid w:val="00EF5A84"/>
    <w:rsid w:val="00F05FE5"/>
    <w:rsid w:val="00F06A39"/>
    <w:rsid w:val="00F06B7F"/>
    <w:rsid w:val="00F12292"/>
    <w:rsid w:val="00F343ED"/>
    <w:rsid w:val="00F36A63"/>
    <w:rsid w:val="00F4105B"/>
    <w:rsid w:val="00F42643"/>
    <w:rsid w:val="00F521D3"/>
    <w:rsid w:val="00F5496C"/>
    <w:rsid w:val="00F564B3"/>
    <w:rsid w:val="00F56528"/>
    <w:rsid w:val="00F61881"/>
    <w:rsid w:val="00F61CBE"/>
    <w:rsid w:val="00F62978"/>
    <w:rsid w:val="00F665C5"/>
    <w:rsid w:val="00F67553"/>
    <w:rsid w:val="00F7602F"/>
    <w:rsid w:val="00F77F2E"/>
    <w:rsid w:val="00F83851"/>
    <w:rsid w:val="00F83F07"/>
    <w:rsid w:val="00F908F9"/>
    <w:rsid w:val="00F928A5"/>
    <w:rsid w:val="00F93708"/>
    <w:rsid w:val="00F937BD"/>
    <w:rsid w:val="00F96F61"/>
    <w:rsid w:val="00FC0758"/>
    <w:rsid w:val="00FD2820"/>
    <w:rsid w:val="00FE5182"/>
    <w:rsid w:val="00FE56EE"/>
    <w:rsid w:val="00FE6D1D"/>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C621"/>
  <w15:chartTrackingRefBased/>
  <w15:docId w15:val="{24702724-40D3-450F-B7AB-FEC4702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23"/>
    <w:pPr>
      <w:spacing w:line="259" w:lineRule="auto"/>
    </w:pPr>
    <w:rPr>
      <w:rFonts w:asciiTheme="majorHAnsi" w:hAnsiTheme="majorHAnsi" w:cstheme="majorHAnsi"/>
    </w:rPr>
  </w:style>
  <w:style w:type="paragraph" w:styleId="Heading1">
    <w:name w:val="heading 1"/>
    <w:basedOn w:val="Normal"/>
    <w:next w:val="Normal"/>
    <w:link w:val="Heading1Char"/>
    <w:uiPriority w:val="9"/>
    <w:qFormat/>
    <w:rsid w:val="00E86123"/>
    <w:pPr>
      <w:keepNext/>
      <w:keepLines/>
      <w:spacing w:before="360" w:after="80" w:line="278"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123"/>
    <w:pPr>
      <w:keepNext/>
      <w:keepLines/>
      <w:spacing w:before="160" w:after="80" w:line="278"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12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123"/>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6123"/>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6123"/>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6123"/>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6123"/>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6123"/>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123"/>
    <w:rPr>
      <w:rFonts w:eastAsiaTheme="majorEastAsia" w:cstheme="majorBidi"/>
      <w:color w:val="272727" w:themeColor="text1" w:themeTint="D8"/>
    </w:rPr>
  </w:style>
  <w:style w:type="paragraph" w:styleId="Title">
    <w:name w:val="Title"/>
    <w:basedOn w:val="Normal"/>
    <w:next w:val="Normal"/>
    <w:link w:val="TitleChar"/>
    <w:uiPriority w:val="10"/>
    <w:qFormat/>
    <w:rsid w:val="00E86123"/>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123"/>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123"/>
    <w:pPr>
      <w:spacing w:before="160" w:line="278"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86123"/>
    <w:rPr>
      <w:i/>
      <w:iCs/>
      <w:color w:val="404040" w:themeColor="text1" w:themeTint="BF"/>
    </w:rPr>
  </w:style>
  <w:style w:type="paragraph" w:styleId="ListParagraph">
    <w:name w:val="List Paragraph"/>
    <w:basedOn w:val="Normal"/>
    <w:uiPriority w:val="34"/>
    <w:qFormat/>
    <w:rsid w:val="00E86123"/>
    <w:pPr>
      <w:spacing w:line="278"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E86123"/>
    <w:rPr>
      <w:i/>
      <w:iCs/>
      <w:color w:val="0F4761" w:themeColor="accent1" w:themeShade="BF"/>
    </w:rPr>
  </w:style>
  <w:style w:type="paragraph" w:styleId="IntenseQuote">
    <w:name w:val="Intense Quote"/>
    <w:basedOn w:val="Normal"/>
    <w:next w:val="Normal"/>
    <w:link w:val="IntenseQuoteChar"/>
    <w:uiPriority w:val="30"/>
    <w:qFormat/>
    <w:rsid w:val="00E861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86123"/>
    <w:rPr>
      <w:i/>
      <w:iCs/>
      <w:color w:val="0F4761" w:themeColor="accent1" w:themeShade="BF"/>
    </w:rPr>
  </w:style>
  <w:style w:type="character" w:styleId="IntenseReference">
    <w:name w:val="Intense Reference"/>
    <w:basedOn w:val="DefaultParagraphFont"/>
    <w:uiPriority w:val="32"/>
    <w:qFormat/>
    <w:rsid w:val="00E86123"/>
    <w:rPr>
      <w:b/>
      <w:bCs/>
      <w:smallCaps/>
      <w:color w:val="0F4761" w:themeColor="accent1" w:themeShade="BF"/>
      <w:spacing w:val="5"/>
    </w:rPr>
  </w:style>
  <w:style w:type="paragraph" w:styleId="Header">
    <w:name w:val="header"/>
    <w:basedOn w:val="Normal"/>
    <w:link w:val="HeaderChar"/>
    <w:uiPriority w:val="99"/>
    <w:unhideWhenUsed/>
    <w:rsid w:val="00E8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23"/>
    <w:rPr>
      <w:rFonts w:asciiTheme="majorHAnsi" w:hAnsiTheme="majorHAnsi" w:cstheme="majorHAnsi"/>
    </w:rPr>
  </w:style>
  <w:style w:type="paragraph" w:styleId="Footer">
    <w:name w:val="footer"/>
    <w:basedOn w:val="Normal"/>
    <w:link w:val="FooterChar"/>
    <w:uiPriority w:val="99"/>
    <w:unhideWhenUsed/>
    <w:rsid w:val="00E8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23"/>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2366</TotalTime>
  <Pages>4</Pages>
  <Words>1641</Words>
  <Characters>8916</Characters>
  <Application>Microsoft Office Word</Application>
  <DocSecurity>0</DocSecurity>
  <Lines>151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ccirco</dc:creator>
  <cp:keywords/>
  <dc:description/>
  <cp:lastModifiedBy>Carl Circo</cp:lastModifiedBy>
  <cp:revision>396</cp:revision>
  <dcterms:created xsi:type="dcterms:W3CDTF">2026-03-23T16:15:00Z</dcterms:created>
  <dcterms:modified xsi:type="dcterms:W3CDTF">2026-03-26T19:53:00Z</dcterms:modified>
</cp:coreProperties>
</file>