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58D" w14:textId="77777777" w:rsidR="00E86123" w:rsidRDefault="00E86123" w:rsidP="00E86123">
      <w:pPr>
        <w:rPr>
          <w:b/>
          <w:bCs/>
        </w:rPr>
      </w:pPr>
      <w:r>
        <w:rPr>
          <w:b/>
          <w:bCs/>
        </w:rPr>
        <w:t>Construction and Design Law: Managing the Network of Interdependent Relationships</w:t>
      </w:r>
    </w:p>
    <w:p w14:paraId="64A19548" w14:textId="77777777" w:rsidR="00E86123" w:rsidRDefault="00E86123" w:rsidP="00E86123">
      <w:pPr>
        <w:jc w:val="center"/>
      </w:pPr>
      <w:r>
        <w:t>Carl J. Circo</w:t>
      </w:r>
    </w:p>
    <w:p w14:paraId="25E8DACD" w14:textId="77777777" w:rsidR="00E86123" w:rsidRDefault="00E86123" w:rsidP="00E86123">
      <w:pPr>
        <w:jc w:val="center"/>
        <w:rPr>
          <w:b/>
          <w:bCs/>
        </w:rPr>
      </w:pPr>
      <w:r>
        <w:rPr>
          <w:b/>
          <w:bCs/>
        </w:rPr>
        <w:t>Part 3</w:t>
      </w:r>
    </w:p>
    <w:p w14:paraId="711EB6AC" w14:textId="77777777" w:rsidR="00E86123" w:rsidRPr="00F2305A" w:rsidRDefault="00E86123" w:rsidP="00E86123">
      <w:pPr>
        <w:keepNext/>
        <w:jc w:val="center"/>
        <w:rPr>
          <w:b/>
          <w:bCs/>
        </w:rPr>
      </w:pPr>
      <w:r w:rsidRPr="00F2305A">
        <w:rPr>
          <w:b/>
          <w:bCs/>
        </w:rPr>
        <w:t xml:space="preserve">Lesson </w:t>
      </w:r>
      <w:r>
        <w:rPr>
          <w:b/>
          <w:bCs/>
        </w:rPr>
        <w:t>22</w:t>
      </w:r>
      <w:r w:rsidRPr="00F2305A">
        <w:rPr>
          <w:b/>
          <w:bCs/>
        </w:rPr>
        <w:t xml:space="preserve">: </w:t>
      </w:r>
      <w:r>
        <w:rPr>
          <w:b/>
          <w:bCs/>
        </w:rPr>
        <w:t>Surety Bonds</w:t>
      </w:r>
    </w:p>
    <w:p w14:paraId="4A8118CC" w14:textId="5AF74AED" w:rsidR="00E86123" w:rsidRDefault="00E86123" w:rsidP="00E86123">
      <w:pPr>
        <w:keepNext/>
      </w:pPr>
      <w:r>
        <w:tab/>
      </w:r>
      <w:r>
        <w:t>In the construction industry, surety bonds provide financial backing for the performance of contractual obligations. Three bond forms are most common: bid bonds; payment bonds, and performance bonds. It is important for students to understand that while the industry relies extensively on both insurance policies and surety bonds to manage</w:t>
      </w:r>
      <w:r>
        <w:t xml:space="preserve"> and mitigate</w:t>
      </w:r>
      <w:r>
        <w:t xml:space="preserve"> </w:t>
      </w:r>
      <w:r>
        <w:t>certain</w:t>
      </w:r>
      <w:r>
        <w:t xml:space="preserve"> risks</w:t>
      </w:r>
      <w:r>
        <w:t xml:space="preserve"> inherent in the construction process</w:t>
      </w:r>
      <w:r>
        <w:t xml:space="preserve">, these two devices do so in entirely </w:t>
      </w:r>
      <w:r w:rsidR="006F7BD2">
        <w:t>distinct</w:t>
      </w:r>
      <w:r>
        <w:t xml:space="preserve"> ways. An insurance policy is a contract of indemnity that </w:t>
      </w:r>
      <w:r>
        <w:t>transfers</w:t>
      </w:r>
      <w:r>
        <w:t xml:space="preserve"> covered risks from the insured to the insurer (such as the risk of loss from casualty damage to property or the risk of liability for </w:t>
      </w:r>
      <w:r w:rsidR="00AD59F5">
        <w:t xml:space="preserve">common negligence or for </w:t>
      </w:r>
      <w:r>
        <w:t xml:space="preserve">professional malpractice). A surety bond does not shift risk from the surety’s customer (the principal under the bond) to the surety; rather, the surety undertakes secondary liability for the principal’s contractual </w:t>
      </w:r>
      <w:r>
        <w:t>obligations</w:t>
      </w:r>
      <w:r>
        <w:t xml:space="preserve"> to the extent </w:t>
      </w:r>
      <w:r w:rsidR="00AD59F5">
        <w:t xml:space="preserve">the bond </w:t>
      </w:r>
      <w:r>
        <w:t>specifie</w:t>
      </w:r>
      <w:r w:rsidR="00AD59F5">
        <w:t>s</w:t>
      </w:r>
      <w:r>
        <w:t>. The primarily responsibility for performance of the covered contractual obligations remains with the principal. When a beneficiary of the bond (</w:t>
      </w:r>
      <w:r w:rsidR="00AD59F5">
        <w:t>an</w:t>
      </w:r>
      <w:r>
        <w:t xml:space="preserve"> “</w:t>
      </w:r>
      <w:proofErr w:type="spellStart"/>
      <w:r>
        <w:t>obligee</w:t>
      </w:r>
      <w:proofErr w:type="spellEnd"/>
      <w:r>
        <w:t xml:space="preserve">”) pursues a claim under the bond, </w:t>
      </w:r>
      <w:r w:rsidR="006630FA">
        <w:t>a</w:t>
      </w:r>
      <w:r>
        <w:t xml:space="preserve"> highly developed body of suretyship law, </w:t>
      </w:r>
      <w:r w:rsidR="00AD59F5">
        <w:t>along with</w:t>
      </w:r>
      <w:r>
        <w:t xml:space="preserve"> the express terms under which </w:t>
      </w:r>
      <w:r w:rsidR="00AD59F5">
        <w:t xml:space="preserve">the </w:t>
      </w:r>
      <w:r>
        <w:t>suret</w:t>
      </w:r>
      <w:r w:rsidR="00AD59F5">
        <w:t>y</w:t>
      </w:r>
      <w:r>
        <w:t xml:space="preserve"> issue</w:t>
      </w:r>
      <w:r w:rsidR="00AD59F5">
        <w:t>d the</w:t>
      </w:r>
      <w:r>
        <w:t xml:space="preserve"> bond, </w:t>
      </w:r>
      <w:r w:rsidR="00AD59F5">
        <w:t xml:space="preserve">govern the surety’s obligations, </w:t>
      </w:r>
      <w:r w:rsidR="006630FA">
        <w:t>establish</w:t>
      </w:r>
      <w:r w:rsidR="00AD59F5">
        <w:t xml:space="preserve"> procedures for enforcing the bond,</w:t>
      </w:r>
      <w:r>
        <w:t xml:space="preserve"> </w:t>
      </w:r>
      <w:r w:rsidR="00AD59F5">
        <w:t xml:space="preserve">afford </w:t>
      </w:r>
      <w:r w:rsidR="00171FED">
        <w:t xml:space="preserve">the surety </w:t>
      </w:r>
      <w:r w:rsidR="006630FA">
        <w:t xml:space="preserve">potential defenses to </w:t>
      </w:r>
      <w:r w:rsidR="00171FED">
        <w:t>its</w:t>
      </w:r>
      <w:r w:rsidR="006630FA">
        <w:t xml:space="preserve"> obligations under the bond, and grant to the </w:t>
      </w:r>
      <w:r w:rsidR="00AD59F5">
        <w:t xml:space="preserve">surety certain rights and remedies against </w:t>
      </w:r>
      <w:r w:rsidR="006630FA">
        <w:t>its</w:t>
      </w:r>
      <w:r w:rsidR="00AD59F5">
        <w:t xml:space="preserve"> principal</w:t>
      </w:r>
      <w:r>
        <w:t>.</w:t>
      </w:r>
    </w:p>
    <w:p w14:paraId="776E5A51" w14:textId="4CDFDC66" w:rsidR="00E86123" w:rsidRPr="00102F72" w:rsidRDefault="00E86123" w:rsidP="00E86123">
      <w:pPr>
        <w:keepNext/>
        <w:ind w:firstLine="720"/>
      </w:pPr>
      <w:r>
        <w:t xml:space="preserve">Instructors who wish to cover bonds as efficiently as possible may simply </w:t>
      </w:r>
      <w:r w:rsidR="006630FA">
        <w:t xml:space="preserve">wish </w:t>
      </w:r>
      <w:r>
        <w:t>to assign sections 12:1 and 12:2 of</w:t>
      </w:r>
      <w:r w:rsidRPr="0007134F">
        <w:t xml:space="preserve"> </w:t>
      </w:r>
      <w:r>
        <w:t xml:space="preserve">Phillip L. Bruner &amp; Patrick J. O’Connor, Jr., 5 </w:t>
      </w:r>
      <w:r w:rsidRPr="001511CC">
        <w:rPr>
          <w:i/>
          <w:iCs/>
        </w:rPr>
        <w:t>Bruner &amp; O’Connor on Construction Law</w:t>
      </w:r>
      <w:r w:rsidR="00813E22">
        <w:t xml:space="preserve"> </w:t>
      </w:r>
      <w:r>
        <w:t xml:space="preserve">(Westlaw Jan. 2026). For a more thorough, yet </w:t>
      </w:r>
      <w:r w:rsidR="00813E22">
        <w:t>concise, introduction</w:t>
      </w:r>
      <w:r>
        <w:t xml:space="preserve">, consider assigning </w:t>
      </w:r>
      <w:r>
        <w:rPr>
          <w:i/>
          <w:iCs/>
        </w:rPr>
        <w:t>Understanding Sureties: Why Do They Do What They Do?</w:t>
      </w:r>
      <w:r>
        <w:t>, by Douglass F. Wynne Jr. &amp; Ashley B. Robinson, 44 Constr. Law. 9 (Fall 2025). This article, while proceeding from a surety’s perspective, efficiently introduces the basics of bid, payment, and performance bonds in the context of both public and private construction projects</w:t>
      </w:r>
      <w:r w:rsidR="006630FA">
        <w:t>. Additionally</w:t>
      </w:r>
      <w:r>
        <w:t>, it explains</w:t>
      </w:r>
      <w:r>
        <w:t xml:space="preserve"> </w:t>
      </w:r>
      <w:r>
        <w:t>important aspects of underwriting considerations, the enforcement process, a surety’s</w:t>
      </w:r>
      <w:r w:rsidR="006630FA">
        <w:t xml:space="preserve"> </w:t>
      </w:r>
      <w:r>
        <w:t>obligations, rights</w:t>
      </w:r>
      <w:r w:rsidR="00B8354C">
        <w:t xml:space="preserve"> and defenses,</w:t>
      </w:r>
      <w:r>
        <w:t xml:space="preserve"> and</w:t>
      </w:r>
      <w:r w:rsidR="006630FA">
        <w:t xml:space="preserve"> other</w:t>
      </w:r>
      <w:r>
        <w:t xml:space="preserve"> core principles of suretyship law.</w:t>
      </w:r>
    </w:p>
    <w:p w14:paraId="5F8BD1BB" w14:textId="77777777" w:rsidR="00E86123" w:rsidRPr="007E4573" w:rsidRDefault="00E86123" w:rsidP="00E86123">
      <w:pPr>
        <w:keepNext/>
        <w:rPr>
          <w:i/>
          <w:iCs/>
        </w:rPr>
      </w:pPr>
      <w:r w:rsidRPr="007E4573">
        <w:rPr>
          <w:i/>
          <w:iCs/>
        </w:rPr>
        <w:t xml:space="preserve">Additional </w:t>
      </w:r>
      <w:r>
        <w:rPr>
          <w:i/>
          <w:iCs/>
        </w:rPr>
        <w:t>R</w:t>
      </w:r>
      <w:r w:rsidRPr="007E4573">
        <w:rPr>
          <w:i/>
          <w:iCs/>
        </w:rPr>
        <w:t>esource</w:t>
      </w:r>
      <w:r>
        <w:rPr>
          <w:i/>
          <w:iCs/>
        </w:rPr>
        <w:t>s</w:t>
      </w:r>
    </w:p>
    <w:p w14:paraId="11F9D9F7" w14:textId="5DC23BA1" w:rsidR="00E86123" w:rsidRDefault="00E86123" w:rsidP="00E86123">
      <w:pPr>
        <w:keepNext/>
        <w:rPr>
          <w:bCs/>
        </w:rPr>
      </w:pPr>
      <w:r>
        <w:tab/>
        <w:t xml:space="preserve">Scott M. Seaman &amp; Jason R. Schulze, </w:t>
      </w:r>
      <w:r>
        <w:rPr>
          <w:i/>
          <w:iCs/>
        </w:rPr>
        <w:t>Allocation of Losses in Complex Insurance Coverage Claims</w:t>
      </w:r>
      <w:r w:rsidR="00B97370">
        <w:rPr>
          <w:i/>
          <w:iCs/>
        </w:rPr>
        <w:t>,</w:t>
      </w:r>
      <w:r>
        <w:rPr>
          <w:i/>
          <w:iCs/>
        </w:rPr>
        <w:t xml:space="preserve"> </w:t>
      </w:r>
      <w:r w:rsidRPr="00370404">
        <w:rPr>
          <w:bCs/>
        </w:rPr>
        <w:t>§ 16:3 (g)</w:t>
      </w:r>
      <w:r>
        <w:rPr>
          <w:bCs/>
        </w:rPr>
        <w:t xml:space="preserve"> (West</w:t>
      </w:r>
      <w:r w:rsidR="00DF38C0">
        <w:rPr>
          <w:bCs/>
        </w:rPr>
        <w:t>l</w:t>
      </w:r>
      <w:r>
        <w:rPr>
          <w:bCs/>
        </w:rPr>
        <w:t xml:space="preserve">aw, June 2025) </w:t>
      </w:r>
      <w:r w:rsidR="00DB6AAC">
        <w:rPr>
          <w:bCs/>
        </w:rPr>
        <w:t>(</w:t>
      </w:r>
      <w:r w:rsidR="004A3B77">
        <w:rPr>
          <w:bCs/>
        </w:rPr>
        <w:t xml:space="preserve">contrasting performance bonds with </w:t>
      </w:r>
      <w:r w:rsidR="00DB6AAC">
        <w:rPr>
          <w:bCs/>
        </w:rPr>
        <w:t>insurance)</w:t>
      </w:r>
      <w:r>
        <w:rPr>
          <w:bCs/>
        </w:rPr>
        <w:t>.</w:t>
      </w:r>
    </w:p>
    <w:p w14:paraId="0766528E" w14:textId="4917A7BC" w:rsidR="00686F86" w:rsidRPr="00646C07" w:rsidRDefault="00E86123" w:rsidP="00E86123">
      <w:r>
        <w:tab/>
        <w:t xml:space="preserve">Chapter </w:t>
      </w:r>
      <w:r w:rsidR="007A1996">
        <w:t xml:space="preserve">6 </w:t>
      </w:r>
      <w:r w:rsidR="002747D4">
        <w:t>(“</w:t>
      </w:r>
      <w:r w:rsidR="002747D4">
        <w:rPr>
          <w:i/>
          <w:iCs/>
        </w:rPr>
        <w:t>A Primer in Contract Surety Law</w:t>
      </w:r>
      <w:r w:rsidR="002747D4">
        <w:t>”)</w:t>
      </w:r>
      <w:r w:rsidR="002747D4">
        <w:t xml:space="preserve"> </w:t>
      </w:r>
      <w:r>
        <w:t xml:space="preserve">of the American Bar Association’s </w:t>
      </w:r>
      <w:r>
        <w:rPr>
          <w:i/>
          <w:iCs/>
        </w:rPr>
        <w:t>Fundamentals of Construction Law</w:t>
      </w:r>
      <w:r w:rsidR="002747D4">
        <w:rPr>
          <w:i/>
          <w:iCs/>
        </w:rPr>
        <w:t xml:space="preserve"> </w:t>
      </w:r>
      <w:r w:rsidR="00646C07">
        <w:t>(2d ed., 2013, Lexis).</w:t>
      </w:r>
    </w:p>
    <w:sectPr w:rsidR="00686F86" w:rsidRPr="00646C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FD64" w14:textId="77777777" w:rsidR="003C656F" w:rsidRDefault="003C656F" w:rsidP="00E86123">
      <w:pPr>
        <w:spacing w:after="0" w:line="240" w:lineRule="auto"/>
      </w:pPr>
      <w:r>
        <w:separator/>
      </w:r>
    </w:p>
  </w:endnote>
  <w:endnote w:type="continuationSeparator" w:id="0">
    <w:p w14:paraId="1C268D5A" w14:textId="77777777" w:rsidR="003C656F" w:rsidRDefault="003C656F" w:rsidP="00E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157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1E5A6" w14:textId="7E7DD739" w:rsidR="00E86123" w:rsidRDefault="00E86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8BE28" w14:textId="77777777" w:rsidR="00E86123" w:rsidRDefault="00E8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2ED3" w14:textId="77777777" w:rsidR="003C656F" w:rsidRDefault="003C656F" w:rsidP="00E86123">
      <w:pPr>
        <w:spacing w:after="0" w:line="240" w:lineRule="auto"/>
      </w:pPr>
      <w:r>
        <w:separator/>
      </w:r>
    </w:p>
  </w:footnote>
  <w:footnote w:type="continuationSeparator" w:id="0">
    <w:p w14:paraId="424FA37F" w14:textId="77777777" w:rsidR="003C656F" w:rsidRDefault="003C656F" w:rsidP="00E8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52AE" w14:textId="644A6464" w:rsidR="00E86123" w:rsidRDefault="00E86123">
    <w:pPr>
      <w:pStyle w:val="Header"/>
    </w:pPr>
    <w:r>
      <w:t>Carl J. Circo © March 2026</w:t>
    </w:r>
  </w:p>
  <w:p w14:paraId="7333BB87" w14:textId="77777777" w:rsidR="00E86123" w:rsidRDefault="00E86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23"/>
    <w:rsid w:val="000A4315"/>
    <w:rsid w:val="00171FED"/>
    <w:rsid w:val="002747D4"/>
    <w:rsid w:val="0031417C"/>
    <w:rsid w:val="003C656F"/>
    <w:rsid w:val="004A3B77"/>
    <w:rsid w:val="00646C07"/>
    <w:rsid w:val="006630FA"/>
    <w:rsid w:val="00686F86"/>
    <w:rsid w:val="006F7BD2"/>
    <w:rsid w:val="007A1996"/>
    <w:rsid w:val="00813E22"/>
    <w:rsid w:val="008D2CE2"/>
    <w:rsid w:val="008D437C"/>
    <w:rsid w:val="008E148B"/>
    <w:rsid w:val="00AD59F5"/>
    <w:rsid w:val="00B8354C"/>
    <w:rsid w:val="00B97370"/>
    <w:rsid w:val="00C05FF1"/>
    <w:rsid w:val="00C92B2D"/>
    <w:rsid w:val="00D11BBB"/>
    <w:rsid w:val="00DB6AAC"/>
    <w:rsid w:val="00DF38C0"/>
    <w:rsid w:val="00E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4C621"/>
  <w15:chartTrackingRefBased/>
  <w15:docId w15:val="{24702724-40D3-450F-B7AB-FEC4702B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23"/>
    <w:pPr>
      <w:spacing w:line="259" w:lineRule="auto"/>
    </w:pPr>
    <w:rPr>
      <w:rFonts w:asciiTheme="majorHAnsi" w:hAnsiTheme="majorHAnsi" w:cs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123"/>
    <w:pPr>
      <w:keepNext/>
      <w:keepLines/>
      <w:spacing w:before="360" w:after="80" w:line="278" w:lineRule="auto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1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1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1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1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1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123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12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123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123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8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123"/>
    <w:rPr>
      <w:rFonts w:asciiTheme="majorHAnsi" w:hAnsiTheme="majorHAnsi" w:cstheme="majorHAnsi"/>
    </w:rPr>
  </w:style>
  <w:style w:type="paragraph" w:styleId="Footer">
    <w:name w:val="footer"/>
    <w:basedOn w:val="Normal"/>
    <w:link w:val="FooterChar"/>
    <w:uiPriority w:val="99"/>
    <w:unhideWhenUsed/>
    <w:rsid w:val="00E8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123"/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387</Words>
  <Characters>2351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ccirco</dc:creator>
  <cp:keywords/>
  <dc:description/>
  <cp:lastModifiedBy>ccirco</cp:lastModifiedBy>
  <cp:revision>16</cp:revision>
  <dcterms:created xsi:type="dcterms:W3CDTF">2026-03-19T18:52:00Z</dcterms:created>
  <dcterms:modified xsi:type="dcterms:W3CDTF">2026-03-19T19:43:00Z</dcterms:modified>
</cp:coreProperties>
</file>