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8803" w14:textId="77777777" w:rsidR="004327F6" w:rsidRDefault="004327F6" w:rsidP="004327F6">
      <w:pPr>
        <w:rPr>
          <w:b/>
          <w:bCs/>
        </w:rPr>
      </w:pPr>
      <w:r>
        <w:rPr>
          <w:b/>
          <w:bCs/>
        </w:rPr>
        <w:t>Construction and Design Law: Managing the Network of Interdependent Relationships</w:t>
      </w:r>
    </w:p>
    <w:p w14:paraId="552AC4D0" w14:textId="77777777" w:rsidR="004327F6" w:rsidRDefault="004327F6" w:rsidP="004327F6">
      <w:pPr>
        <w:jc w:val="center"/>
      </w:pPr>
      <w:r>
        <w:t>Carl J. Circo</w:t>
      </w:r>
    </w:p>
    <w:p w14:paraId="64CD44B7" w14:textId="77777777" w:rsidR="004327F6" w:rsidRDefault="004327F6" w:rsidP="004327F6">
      <w:pPr>
        <w:jc w:val="center"/>
        <w:rPr>
          <w:b/>
          <w:bCs/>
        </w:rPr>
      </w:pPr>
      <w:r>
        <w:rPr>
          <w:b/>
          <w:bCs/>
        </w:rPr>
        <w:t>Part 3</w:t>
      </w:r>
    </w:p>
    <w:p w14:paraId="44D5343C" w14:textId="2E36B459" w:rsidR="004327F6" w:rsidRPr="00F2305A" w:rsidRDefault="004327F6" w:rsidP="004327F6">
      <w:pPr>
        <w:keepNext/>
        <w:jc w:val="center"/>
        <w:rPr>
          <w:b/>
          <w:bCs/>
        </w:rPr>
      </w:pPr>
      <w:r w:rsidRPr="00F2305A">
        <w:rPr>
          <w:b/>
          <w:bCs/>
        </w:rPr>
        <w:t xml:space="preserve">Lesson </w:t>
      </w:r>
      <w:r w:rsidR="00F14365">
        <w:rPr>
          <w:b/>
          <w:bCs/>
        </w:rPr>
        <w:t>2</w:t>
      </w:r>
      <w:r>
        <w:rPr>
          <w:b/>
          <w:bCs/>
        </w:rPr>
        <w:t>1</w:t>
      </w:r>
      <w:r w:rsidRPr="00F2305A">
        <w:rPr>
          <w:b/>
          <w:bCs/>
        </w:rPr>
        <w:t xml:space="preserve">: </w:t>
      </w:r>
      <w:r w:rsidR="00F14365">
        <w:rPr>
          <w:b/>
          <w:bCs/>
        </w:rPr>
        <w:t>Insurance</w:t>
      </w:r>
    </w:p>
    <w:p w14:paraId="5E61D240" w14:textId="52C6DFE0" w:rsidR="004327F6" w:rsidRDefault="004327F6" w:rsidP="009A7877">
      <w:r>
        <w:tab/>
      </w:r>
      <w:r w:rsidR="00A71F7D">
        <w:t xml:space="preserve">Parts 1 and 2 of </w:t>
      </w:r>
      <w:r w:rsidR="00A71F7D">
        <w:t>this course manual</w:t>
      </w:r>
      <w:r w:rsidR="00A71F7D">
        <w:t xml:space="preserve"> provide brief overviews of insurance topics in specific contexts, offering limited summaries of coverages for property and casualty, general liability, </w:t>
      </w:r>
      <w:r w:rsidR="00AC17F6">
        <w:t xml:space="preserve">and </w:t>
      </w:r>
      <w:r w:rsidR="00A71F7D">
        <w:t xml:space="preserve">professional liability risks. I rarely take time to go beyond these basics because insurance in the construction industry could itself afford sufficient materials for a two or three credit course. </w:t>
      </w:r>
      <w:r w:rsidR="003360F7">
        <w:t xml:space="preserve">Many excellent resources available </w:t>
      </w:r>
      <w:r w:rsidR="007C51CD">
        <w:t>online provide more detailed coverage.</w:t>
      </w:r>
      <w:r w:rsidR="001B7903">
        <w:t xml:space="preserve"> </w:t>
      </w:r>
      <w:r>
        <w:t xml:space="preserve">Those who wish to </w:t>
      </w:r>
      <w:r w:rsidR="006F312F">
        <w:t xml:space="preserve">devote </w:t>
      </w:r>
      <w:r w:rsidR="0067268D">
        <w:t>additional</w:t>
      </w:r>
      <w:r w:rsidR="006F312F">
        <w:t xml:space="preserve"> attention to construction industry insurance</w:t>
      </w:r>
      <w:r>
        <w:t xml:space="preserve"> might consider </w:t>
      </w:r>
      <w:r w:rsidR="0090451F">
        <w:t>selecting assignments from among the following resources:</w:t>
      </w:r>
    </w:p>
    <w:p w14:paraId="4D2A7952" w14:textId="1F2E4042" w:rsidR="00A63BC4" w:rsidRDefault="00A63BC4" w:rsidP="00DA1B74">
      <w:pPr>
        <w:pStyle w:val="ListParagraph"/>
        <w:keepNext/>
        <w:numPr>
          <w:ilvl w:val="0"/>
          <w:numId w:val="1"/>
        </w:numPr>
      </w:pPr>
      <w:r>
        <w:rPr>
          <w:i/>
          <w:iCs/>
        </w:rPr>
        <w:t>Construction Insurance: Coverages and Disputes</w:t>
      </w:r>
      <w:r w:rsidR="00170D3E">
        <w:rPr>
          <w:i/>
          <w:iCs/>
        </w:rPr>
        <w:t xml:space="preserve"> </w:t>
      </w:r>
      <w:r w:rsidR="00170D3E">
        <w:t>(2d ed., LexisNexis (2026)</w:t>
      </w:r>
      <w:r w:rsidR="009E28C4">
        <w:t>;</w:t>
      </w:r>
      <w:r w:rsidR="003C24F1">
        <w:rPr>
          <w:i/>
          <w:iCs/>
        </w:rPr>
        <w:t xml:space="preserve"> </w:t>
      </w:r>
      <w:r w:rsidR="00C16507" w:rsidRPr="00FA6C93">
        <w:t>§</w:t>
      </w:r>
      <w:r w:rsidR="00FA6C93">
        <w:t xml:space="preserve"> 1.01,</w:t>
      </w:r>
      <w:r w:rsidR="00550D93">
        <w:t xml:space="preserve"> </w:t>
      </w:r>
      <w:r w:rsidR="00550D93" w:rsidRPr="00550D93">
        <w:rPr>
          <w:i/>
          <w:iCs/>
        </w:rPr>
        <w:t>Types of Coverages and Policies</w:t>
      </w:r>
      <w:r w:rsidR="00550D93">
        <w:t xml:space="preserve">, </w:t>
      </w:r>
      <w:r w:rsidR="007A2F06">
        <w:t xml:space="preserve">explains common </w:t>
      </w:r>
      <w:r w:rsidR="00CE38E6">
        <w:t>terms</w:t>
      </w:r>
      <w:r w:rsidR="00F941B0">
        <w:t>, policy types,</w:t>
      </w:r>
      <w:r w:rsidR="00CE38E6">
        <w:t xml:space="preserve"> and </w:t>
      </w:r>
      <w:r w:rsidR="0039068E">
        <w:t>coverage</w:t>
      </w:r>
      <w:r w:rsidR="009548E6">
        <w:t xml:space="preserve"> categorie</w:t>
      </w:r>
      <w:r w:rsidR="0039068E">
        <w:t xml:space="preserve">s </w:t>
      </w:r>
      <w:r w:rsidR="00CE38E6">
        <w:t>relevant to</w:t>
      </w:r>
      <w:r w:rsidR="009548E6">
        <w:t xml:space="preserve"> the</w:t>
      </w:r>
      <w:r w:rsidR="00CE38E6">
        <w:t xml:space="preserve"> construction </w:t>
      </w:r>
      <w:r w:rsidR="009548E6">
        <w:t>industry</w:t>
      </w:r>
      <w:r w:rsidR="0071089E">
        <w:t xml:space="preserve"> and may serve as a basic </w:t>
      </w:r>
      <w:r w:rsidR="00AA3776">
        <w:t>introduction</w:t>
      </w:r>
      <w:r w:rsidR="007E7FC1">
        <w:t>;</w:t>
      </w:r>
      <w:r w:rsidR="00F941B0">
        <w:t xml:space="preserve"> </w:t>
      </w:r>
      <w:r w:rsidR="00837492">
        <w:t>this resource</w:t>
      </w:r>
      <w:r w:rsidR="0034095A">
        <w:t xml:space="preserve"> </w:t>
      </w:r>
      <w:r w:rsidR="00631316">
        <w:t xml:space="preserve">also includes </w:t>
      </w:r>
      <w:r w:rsidR="00D659C9">
        <w:t xml:space="preserve">separate </w:t>
      </w:r>
      <w:r w:rsidR="00631316">
        <w:t xml:space="preserve">chapters on liability insurance (Chapter 5), builder’s risk (Chapter 6), </w:t>
      </w:r>
      <w:r w:rsidR="000C640C">
        <w:t>architect’s and engineer’s liability</w:t>
      </w:r>
      <w:r w:rsidR="00060FF7">
        <w:t xml:space="preserve"> (Chapter 7, and excess insurance, reinsurance, and wrap-up coverage (Chapter 8), among other topics.</w:t>
      </w:r>
    </w:p>
    <w:p w14:paraId="665E12F9" w14:textId="5F358932" w:rsidR="009909CF" w:rsidRDefault="003C5DD3" w:rsidP="00DA1B74">
      <w:pPr>
        <w:pStyle w:val="ListParagraph"/>
        <w:keepNext/>
        <w:numPr>
          <w:ilvl w:val="0"/>
          <w:numId w:val="1"/>
        </w:numPr>
      </w:pPr>
      <w:r>
        <w:t>Chapter 16</w:t>
      </w:r>
      <w:r w:rsidR="00A06071">
        <w:t xml:space="preserve"> </w:t>
      </w:r>
      <w:r w:rsidR="00A06071">
        <w:rPr>
          <w:i/>
          <w:iCs/>
        </w:rPr>
        <w:t>Construction Defect Losses</w:t>
      </w:r>
      <w:r w:rsidR="001A1052">
        <w:t xml:space="preserve">, </w:t>
      </w:r>
      <w:r w:rsidR="001A1052">
        <w:rPr>
          <w:i/>
          <w:iCs/>
        </w:rPr>
        <w:t>in</w:t>
      </w:r>
      <w:r w:rsidR="0080357A">
        <w:rPr>
          <w:i/>
          <w:iCs/>
        </w:rPr>
        <w:t xml:space="preserve"> </w:t>
      </w:r>
      <w:r w:rsidR="0080357A">
        <w:t>Scott M. Seaman &amp; Jason R. Schulze,</w:t>
      </w:r>
      <w:r w:rsidR="0080357A">
        <w:rPr>
          <w:i/>
          <w:iCs/>
        </w:rPr>
        <w:t xml:space="preserve"> </w:t>
      </w:r>
      <w:r w:rsidR="001A1052">
        <w:rPr>
          <w:i/>
          <w:iCs/>
        </w:rPr>
        <w:t xml:space="preserve"> Allocation of Losses in Complex Insurance Coverage Claims </w:t>
      </w:r>
      <w:r w:rsidR="00A06071">
        <w:t>(Westlaw</w:t>
      </w:r>
      <w:r w:rsidR="00E76509">
        <w:t>, June 2025 Update)</w:t>
      </w:r>
      <w:r w:rsidR="00B23B05">
        <w:t xml:space="preserve">; </w:t>
      </w:r>
      <w:r w:rsidR="00B23B05" w:rsidRPr="00FA6C93">
        <w:t>§</w:t>
      </w:r>
      <w:r w:rsidR="00B23B05">
        <w:t xml:space="preserve"> </w:t>
      </w:r>
      <w:r w:rsidR="00AC28AD">
        <w:t xml:space="preserve">16:1 provides an overview of </w:t>
      </w:r>
      <w:r w:rsidR="007F6AC4">
        <w:t>insurance coverage for construction defect claims</w:t>
      </w:r>
      <w:r w:rsidR="00AD0A71">
        <w:t xml:space="preserve">; </w:t>
      </w:r>
      <w:r w:rsidR="00AD0A71" w:rsidRPr="00FA6C93">
        <w:t>§</w:t>
      </w:r>
      <w:r w:rsidR="00AD0A71">
        <w:t xml:space="preserve"> 16:3 </w:t>
      </w:r>
      <w:r w:rsidR="00E243AA">
        <w:t xml:space="preserve">more broadly </w:t>
      </w:r>
      <w:r w:rsidR="00AD0A71">
        <w:t xml:space="preserve">reviews </w:t>
      </w:r>
      <w:r w:rsidR="0006008B">
        <w:t>types of insurance</w:t>
      </w:r>
      <w:r w:rsidR="0075551B">
        <w:t xml:space="preserve"> policies</w:t>
      </w:r>
      <w:r w:rsidR="0001182A">
        <w:t xml:space="preserve"> common in the construction industry, including</w:t>
      </w:r>
      <w:r w:rsidR="00A07527">
        <w:t xml:space="preserve"> builders risk</w:t>
      </w:r>
      <w:r w:rsidR="00846F05">
        <w:t>, professional liability, general liability</w:t>
      </w:r>
      <w:r w:rsidR="00D17518">
        <w:t>,</w:t>
      </w:r>
      <w:r w:rsidR="00D47F6B">
        <w:t xml:space="preserve"> workers compensation and employers l</w:t>
      </w:r>
      <w:r w:rsidR="005B4B59">
        <w:t>iability,</w:t>
      </w:r>
      <w:r w:rsidR="00D17518">
        <w:t xml:space="preserve"> and other</w:t>
      </w:r>
      <w:r w:rsidR="005B4B59">
        <w:t>s</w:t>
      </w:r>
      <w:r w:rsidR="00DF1CC4">
        <w:t xml:space="preserve">; </w:t>
      </w:r>
      <w:r w:rsidR="00DF1CC4" w:rsidRPr="00FA6C93">
        <w:t>§</w:t>
      </w:r>
      <w:r w:rsidR="00DF1CC4">
        <w:t xml:space="preserve"> 16:5 discusses </w:t>
      </w:r>
      <w:r w:rsidR="004F0BE7">
        <w:t xml:space="preserve">the commonly litigated </w:t>
      </w:r>
      <w:r w:rsidR="00431005">
        <w:t>problems associated with</w:t>
      </w:r>
      <w:r w:rsidR="004F0BE7">
        <w:t xml:space="preserve"> the “occurrence” requirement for defect coverage </w:t>
      </w:r>
      <w:r w:rsidR="00431005">
        <w:t>under</w:t>
      </w:r>
      <w:r w:rsidR="004F0BE7">
        <w:t xml:space="preserve"> a commercial general liability policy</w:t>
      </w:r>
      <w:r w:rsidR="0041770F">
        <w:t>.</w:t>
      </w:r>
    </w:p>
    <w:p w14:paraId="64B2CA5A" w14:textId="5FD9D877" w:rsidR="0041770F" w:rsidRDefault="005C5394" w:rsidP="00DA1B74">
      <w:pPr>
        <w:pStyle w:val="ListParagraph"/>
        <w:keepNext/>
        <w:numPr>
          <w:ilvl w:val="0"/>
          <w:numId w:val="1"/>
        </w:numPr>
      </w:pPr>
      <w:r>
        <w:t>Patrick</w:t>
      </w:r>
      <w:r w:rsidR="0006257D">
        <w:t xml:space="preserve"> J. O’Connor, Jr., </w:t>
      </w:r>
      <w:r w:rsidR="00402676">
        <w:rPr>
          <w:i/>
          <w:iCs/>
        </w:rPr>
        <w:t>How to Draft a Construction Contract Insurance Provision</w:t>
      </w:r>
      <w:r w:rsidR="00990B0B">
        <w:t xml:space="preserve">, </w:t>
      </w:r>
      <w:r w:rsidR="0006257D">
        <w:t>8 Am. Coll. Constr. Laws. J.</w:t>
      </w:r>
      <w:r w:rsidR="002306AD">
        <w:t xml:space="preserve"> 4</w:t>
      </w:r>
      <w:r w:rsidR="00ED0231">
        <w:t xml:space="preserve"> (Feb. 2014).</w:t>
      </w:r>
    </w:p>
    <w:p w14:paraId="1A4C942B" w14:textId="6F697418" w:rsidR="00A21376" w:rsidRPr="008966E8" w:rsidRDefault="00F67B55" w:rsidP="008966E8">
      <w:pPr>
        <w:pStyle w:val="ListParagraph"/>
        <w:numPr>
          <w:ilvl w:val="0"/>
          <w:numId w:val="1"/>
        </w:numPr>
        <w:rPr>
          <w:bCs/>
        </w:rPr>
      </w:pPr>
      <w:r>
        <w:t xml:space="preserve">Phillip L. Bruner &amp; Patrick J. O’Connor, Jr., </w:t>
      </w:r>
      <w:r w:rsidR="00022A89">
        <w:t>4</w:t>
      </w:r>
      <w:r>
        <w:t xml:space="preserve"> </w:t>
      </w:r>
      <w:r w:rsidRPr="00F67B55">
        <w:rPr>
          <w:i/>
          <w:iCs/>
        </w:rPr>
        <w:t>Bruner &amp; O’Connor on Construction Law</w:t>
      </w:r>
      <w:r>
        <w:t xml:space="preserve">, </w:t>
      </w:r>
      <w:r w:rsidR="009A4A57">
        <w:t xml:space="preserve">Chapter 11 </w:t>
      </w:r>
      <w:r w:rsidR="009A4A57">
        <w:rPr>
          <w:i/>
          <w:iCs/>
        </w:rPr>
        <w:t>Insurance</w:t>
      </w:r>
      <w:r>
        <w:t xml:space="preserve"> (Westlaw Jan. 2026)</w:t>
      </w:r>
      <w:r w:rsidR="001F0B80">
        <w:t xml:space="preserve"> provides detailed </w:t>
      </w:r>
      <w:r w:rsidR="0099269D">
        <w:t>discussions of the most important construction industry insurance issues</w:t>
      </w:r>
      <w:r w:rsidR="001A19EB">
        <w:t>, including many leading cases</w:t>
      </w:r>
      <w:r>
        <w:t>.</w:t>
      </w:r>
    </w:p>
    <w:p w14:paraId="0F37AC24" w14:textId="77777777" w:rsidR="00686F86" w:rsidRDefault="00686F86"/>
    <w:sectPr w:rsidR="00686F8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67D0" w14:textId="77777777" w:rsidR="004A5D78" w:rsidRDefault="004A5D78" w:rsidP="004327F6">
      <w:pPr>
        <w:spacing w:after="0" w:line="240" w:lineRule="auto"/>
      </w:pPr>
      <w:r>
        <w:separator/>
      </w:r>
    </w:p>
  </w:endnote>
  <w:endnote w:type="continuationSeparator" w:id="0">
    <w:p w14:paraId="71775C16" w14:textId="77777777" w:rsidR="004A5D78" w:rsidRDefault="004A5D78" w:rsidP="00432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5630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3F78B" w14:textId="5F1FAD2A" w:rsidR="00556475" w:rsidRDefault="005564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AC6EE9" w14:textId="77777777" w:rsidR="00556475" w:rsidRDefault="00556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964C" w14:textId="77777777" w:rsidR="004A5D78" w:rsidRDefault="004A5D78" w:rsidP="004327F6">
      <w:pPr>
        <w:spacing w:after="0" w:line="240" w:lineRule="auto"/>
      </w:pPr>
      <w:r>
        <w:separator/>
      </w:r>
    </w:p>
  </w:footnote>
  <w:footnote w:type="continuationSeparator" w:id="0">
    <w:p w14:paraId="787C9CFB" w14:textId="77777777" w:rsidR="004A5D78" w:rsidRDefault="004A5D78" w:rsidP="00432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92EC" w14:textId="4B9A70A9" w:rsidR="004327F6" w:rsidRDefault="00FE4C51">
    <w:pPr>
      <w:pStyle w:val="Header"/>
    </w:pPr>
    <w:r>
      <w:t xml:space="preserve">Work-in-progress </w:t>
    </w:r>
    <w:r w:rsidR="00D337CD">
      <w:t xml:space="preserve">© Carl J. Circo </w:t>
    </w:r>
    <w:r w:rsidR="00F14365">
      <w:t>March</w:t>
    </w:r>
    <w:r w:rsidR="004327F6">
      <w:t xml:space="preserve"> 2026</w:t>
    </w:r>
  </w:p>
  <w:p w14:paraId="7D66F474" w14:textId="77777777" w:rsidR="004327F6" w:rsidRDefault="004327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F38E6"/>
    <w:multiLevelType w:val="hybridMultilevel"/>
    <w:tmpl w:val="1C647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254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F6"/>
    <w:rsid w:val="0001182A"/>
    <w:rsid w:val="00022A89"/>
    <w:rsid w:val="0006008B"/>
    <w:rsid w:val="00060FF7"/>
    <w:rsid w:val="0006257D"/>
    <w:rsid w:val="000A58D9"/>
    <w:rsid w:val="000C640C"/>
    <w:rsid w:val="00170D3E"/>
    <w:rsid w:val="001A1052"/>
    <w:rsid w:val="001A19EB"/>
    <w:rsid w:val="001A4828"/>
    <w:rsid w:val="001B7903"/>
    <w:rsid w:val="001E15AE"/>
    <w:rsid w:val="001F0B80"/>
    <w:rsid w:val="002200FB"/>
    <w:rsid w:val="002306AD"/>
    <w:rsid w:val="002A7432"/>
    <w:rsid w:val="003360F7"/>
    <w:rsid w:val="0034095A"/>
    <w:rsid w:val="0039068E"/>
    <w:rsid w:val="003C24F1"/>
    <w:rsid w:val="003C5DD3"/>
    <w:rsid w:val="00402676"/>
    <w:rsid w:val="00412E8C"/>
    <w:rsid w:val="0041770F"/>
    <w:rsid w:val="00431005"/>
    <w:rsid w:val="004327F6"/>
    <w:rsid w:val="004A5D78"/>
    <w:rsid w:val="004C41D7"/>
    <w:rsid w:val="004F0BE7"/>
    <w:rsid w:val="00502988"/>
    <w:rsid w:val="00526134"/>
    <w:rsid w:val="00527414"/>
    <w:rsid w:val="00540C8C"/>
    <w:rsid w:val="00550D93"/>
    <w:rsid w:val="00555245"/>
    <w:rsid w:val="00556475"/>
    <w:rsid w:val="0056142A"/>
    <w:rsid w:val="005B4B59"/>
    <w:rsid w:val="005C5394"/>
    <w:rsid w:val="00624769"/>
    <w:rsid w:val="00631316"/>
    <w:rsid w:val="0067268D"/>
    <w:rsid w:val="00686F86"/>
    <w:rsid w:val="006C58CF"/>
    <w:rsid w:val="006F312F"/>
    <w:rsid w:val="0071089E"/>
    <w:rsid w:val="0075551B"/>
    <w:rsid w:val="007A2F06"/>
    <w:rsid w:val="007C51CD"/>
    <w:rsid w:val="007E7FC1"/>
    <w:rsid w:val="007F6AC4"/>
    <w:rsid w:val="008031BD"/>
    <w:rsid w:val="0080357A"/>
    <w:rsid w:val="00837492"/>
    <w:rsid w:val="00846F05"/>
    <w:rsid w:val="008966E8"/>
    <w:rsid w:val="008C69FD"/>
    <w:rsid w:val="0090451F"/>
    <w:rsid w:val="0090507E"/>
    <w:rsid w:val="00944A33"/>
    <w:rsid w:val="009548E6"/>
    <w:rsid w:val="009909CF"/>
    <w:rsid w:val="00990B0B"/>
    <w:rsid w:val="0099269D"/>
    <w:rsid w:val="009A4A57"/>
    <w:rsid w:val="009A7877"/>
    <w:rsid w:val="009E28C4"/>
    <w:rsid w:val="00A06071"/>
    <w:rsid w:val="00A07527"/>
    <w:rsid w:val="00A21376"/>
    <w:rsid w:val="00A4101E"/>
    <w:rsid w:val="00A63BC4"/>
    <w:rsid w:val="00A71F7D"/>
    <w:rsid w:val="00A851F6"/>
    <w:rsid w:val="00AA3776"/>
    <w:rsid w:val="00AC17F6"/>
    <w:rsid w:val="00AC28AD"/>
    <w:rsid w:val="00AD0A71"/>
    <w:rsid w:val="00AD3E19"/>
    <w:rsid w:val="00B23B05"/>
    <w:rsid w:val="00BA6600"/>
    <w:rsid w:val="00BC6213"/>
    <w:rsid w:val="00C16507"/>
    <w:rsid w:val="00C92B2D"/>
    <w:rsid w:val="00CA721B"/>
    <w:rsid w:val="00CD6617"/>
    <w:rsid w:val="00CE38E6"/>
    <w:rsid w:val="00D11BBB"/>
    <w:rsid w:val="00D17518"/>
    <w:rsid w:val="00D337CD"/>
    <w:rsid w:val="00D47F6B"/>
    <w:rsid w:val="00D659C9"/>
    <w:rsid w:val="00DA1B74"/>
    <w:rsid w:val="00DC03BB"/>
    <w:rsid w:val="00DF1CC4"/>
    <w:rsid w:val="00E243AA"/>
    <w:rsid w:val="00E76509"/>
    <w:rsid w:val="00ED0231"/>
    <w:rsid w:val="00EF4A8E"/>
    <w:rsid w:val="00F14365"/>
    <w:rsid w:val="00F55FE4"/>
    <w:rsid w:val="00F67B55"/>
    <w:rsid w:val="00F941B0"/>
    <w:rsid w:val="00FA47EC"/>
    <w:rsid w:val="00FA6C93"/>
    <w:rsid w:val="00FE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EC23F"/>
  <w15:chartTrackingRefBased/>
  <w15:docId w15:val="{C3285512-A400-4112-BD00-4AF0A23E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7F6"/>
    <w:pPr>
      <w:spacing w:line="259" w:lineRule="auto"/>
    </w:pPr>
    <w:rPr>
      <w:rFonts w:asciiTheme="majorHAnsi" w:hAnsiTheme="majorHAnsi" w:cs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7F6"/>
    <w:pPr>
      <w:keepNext/>
      <w:keepLines/>
      <w:spacing w:before="360" w:after="80" w:line="278" w:lineRule="auto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7F6"/>
    <w:pPr>
      <w:keepNext/>
      <w:keepLines/>
      <w:spacing w:before="160" w:after="80" w:line="278" w:lineRule="auto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7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7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7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7F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7F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7F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7F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7F6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7F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7F6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7F6"/>
    <w:pPr>
      <w:spacing w:line="278" w:lineRule="auto"/>
      <w:ind w:left="720"/>
      <w:contextualSpacing/>
    </w:pPr>
    <w:rPr>
      <w:rFonts w:ascii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432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7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2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7F6"/>
    <w:rPr>
      <w:rFonts w:asciiTheme="majorHAnsi" w:hAnsiTheme="majorHAnsi" w:cstheme="majorHAnsi"/>
    </w:rPr>
  </w:style>
  <w:style w:type="paragraph" w:styleId="Footer">
    <w:name w:val="footer"/>
    <w:basedOn w:val="Normal"/>
    <w:link w:val="FooterChar"/>
    <w:uiPriority w:val="99"/>
    <w:unhideWhenUsed/>
    <w:rsid w:val="00432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7F6"/>
    <w:rPr>
      <w:rFonts w:asciiTheme="majorHAnsi" w:hAnsiTheme="majorHAnsi" w:cstheme="majorHAnsi"/>
    </w:rPr>
  </w:style>
  <w:style w:type="character" w:styleId="Hyperlink">
    <w:name w:val="Hyperlink"/>
    <w:basedOn w:val="DefaultParagraphFont"/>
    <w:uiPriority w:val="99"/>
    <w:unhideWhenUsed/>
    <w:rsid w:val="00DA1B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9c742c4-e61c-4fa5-be89-a3cb566a80d1}" enabled="0" method="" siteId="{79c742c4-e61c-4fa5-be89-a3cb566a8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326</Words>
  <Characters>1923</Characters>
  <Application>Microsoft Office Word</Application>
  <DocSecurity>0</DocSecurity>
  <Lines>28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Circo</dc:creator>
  <cp:keywords/>
  <dc:description/>
  <cp:lastModifiedBy>Carl Circo</cp:lastModifiedBy>
  <cp:revision>88</cp:revision>
  <dcterms:created xsi:type="dcterms:W3CDTF">2026-03-16T16:11:00Z</dcterms:created>
  <dcterms:modified xsi:type="dcterms:W3CDTF">2026-03-16T17:48:00Z</dcterms:modified>
</cp:coreProperties>
</file>