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BB80" w14:textId="77777777" w:rsidR="002D7C57" w:rsidRDefault="002D7C57" w:rsidP="002D7C57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43A4EC53" w14:textId="77777777" w:rsidR="002D7C57" w:rsidRPr="002D7C57" w:rsidRDefault="002D7C57" w:rsidP="002D7C57">
      <w:pPr>
        <w:jc w:val="center"/>
        <w:rPr>
          <w:lang w:val="fr-FR"/>
        </w:rPr>
      </w:pPr>
      <w:r w:rsidRPr="002D7C57">
        <w:rPr>
          <w:lang w:val="fr-FR"/>
        </w:rPr>
        <w:t>Carl J. Circo</w:t>
      </w:r>
    </w:p>
    <w:p w14:paraId="290B094A" w14:textId="77777777" w:rsidR="002D7C57" w:rsidRPr="002D7C57" w:rsidRDefault="002D7C57" w:rsidP="002D7C57">
      <w:pPr>
        <w:jc w:val="center"/>
        <w:rPr>
          <w:b/>
          <w:bCs/>
          <w:lang w:val="fr-FR"/>
        </w:rPr>
      </w:pPr>
      <w:r w:rsidRPr="002D7C57">
        <w:rPr>
          <w:b/>
          <w:bCs/>
          <w:lang w:val="fr-FR"/>
        </w:rPr>
        <w:t>Part 3</w:t>
      </w:r>
    </w:p>
    <w:p w14:paraId="76A8CE76" w14:textId="6A767C63" w:rsidR="00240200" w:rsidRDefault="002D7C57" w:rsidP="002D7C57">
      <w:r w:rsidRPr="002D7C57">
        <w:rPr>
          <w:b/>
          <w:bCs/>
          <w:lang w:val="fr-FR"/>
        </w:rPr>
        <w:t xml:space="preserve">Lesson </w:t>
      </w:r>
      <w:r>
        <w:rPr>
          <w:b/>
          <w:bCs/>
          <w:lang w:val="fr-FR"/>
        </w:rPr>
        <w:t>19</w:t>
      </w:r>
      <w:r w:rsidRPr="002D7C57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 w:rsidRPr="00F2305A">
        <w:rPr>
          <w:b/>
          <w:bCs/>
        </w:rPr>
        <w:t>Public Projects</w:t>
      </w:r>
    </w:p>
    <w:p w14:paraId="197E87AA" w14:textId="4C21BF4C" w:rsidR="00AC6FD8" w:rsidRDefault="002D7C57" w:rsidP="002D7C57">
      <w:r>
        <w:tab/>
        <w:t xml:space="preserve">The phrase “Public Projects” embraces a wide </w:t>
      </w:r>
      <w:r w:rsidR="004A5CFD">
        <w:t>range</w:t>
      </w:r>
      <w:r>
        <w:t xml:space="preserve"> of construction industry</w:t>
      </w:r>
      <w:r w:rsidR="004A5CFD">
        <w:t xml:space="preserve"> projects</w:t>
      </w:r>
      <w:r w:rsidR="002E1644">
        <w:t xml:space="preserve">, </w:t>
      </w:r>
      <w:r w:rsidR="004352A5">
        <w:t>including</w:t>
      </w:r>
      <w:r w:rsidR="00883155">
        <w:t xml:space="preserve"> federal, state, and local public works, </w:t>
      </w:r>
      <w:r w:rsidR="00ED6B27">
        <w:t>such as</w:t>
      </w:r>
      <w:r w:rsidR="00883155">
        <w:t xml:space="preserve"> transportation and infrastructure</w:t>
      </w:r>
      <w:r w:rsidR="0039755E">
        <w:t>,</w:t>
      </w:r>
      <w:r w:rsidR="00883155">
        <w:t xml:space="preserve"> government buildings</w:t>
      </w:r>
      <w:r w:rsidR="00990597">
        <w:t>,</w:t>
      </w:r>
      <w:r w:rsidR="009C7FD8">
        <w:t xml:space="preserve"> public utilit</w:t>
      </w:r>
      <w:r w:rsidR="00ED19EC">
        <w:t>i</w:t>
      </w:r>
      <w:r w:rsidR="009C7FD8">
        <w:t>es</w:t>
      </w:r>
      <w:r w:rsidR="0008552C">
        <w:t xml:space="preserve">, </w:t>
      </w:r>
      <w:r w:rsidR="00883155">
        <w:t xml:space="preserve">military </w:t>
      </w:r>
      <w:r w:rsidR="00B8584C">
        <w:t>facilities</w:t>
      </w:r>
      <w:r w:rsidR="0008552C">
        <w:t xml:space="preserve">, and </w:t>
      </w:r>
      <w:r w:rsidR="007D3C34">
        <w:t xml:space="preserve">other </w:t>
      </w:r>
      <w:r w:rsidR="0008552C">
        <w:t>improvements for governmental purposes</w:t>
      </w:r>
      <w:r w:rsidR="00883155">
        <w:t xml:space="preserve">. </w:t>
      </w:r>
      <w:r w:rsidR="00457137">
        <w:t>Improvements</w:t>
      </w:r>
      <w:r w:rsidR="00BA1D0E">
        <w:t xml:space="preserve"> for public purposes financed in whole or in part with private </w:t>
      </w:r>
      <w:r w:rsidR="002D5231">
        <w:t xml:space="preserve">investment through </w:t>
      </w:r>
      <w:r w:rsidR="00A724F8">
        <w:t>p</w:t>
      </w:r>
      <w:r w:rsidR="0055610F">
        <w:t xml:space="preserve">ublic-private </w:t>
      </w:r>
      <w:r w:rsidR="002738AC">
        <w:t>partnerships</w:t>
      </w:r>
      <w:r w:rsidR="002D5231">
        <w:t xml:space="preserve"> </w:t>
      </w:r>
      <w:r w:rsidR="00AC6FD8">
        <w:t xml:space="preserve">are another </w:t>
      </w:r>
      <w:r w:rsidR="004A5378">
        <w:t>variety</w:t>
      </w:r>
      <w:r w:rsidR="00AC6FD8">
        <w:t xml:space="preserve"> of public project.</w:t>
      </w:r>
      <w:r w:rsidR="00883155">
        <w:t xml:space="preserve"> </w:t>
      </w:r>
      <w:r w:rsidR="0039076F">
        <w:t xml:space="preserve">This </w:t>
      </w:r>
      <w:r w:rsidR="006759F1">
        <w:t>segment</w:t>
      </w:r>
      <w:r w:rsidR="0039076F">
        <w:t xml:space="preserve"> of construction law </w:t>
      </w:r>
      <w:r w:rsidR="002B47E3">
        <w:t>embraces</w:t>
      </w:r>
      <w:r w:rsidR="00F520DB">
        <w:t xml:space="preserve"> </w:t>
      </w:r>
      <w:r w:rsidR="00CE1EF2">
        <w:t>too</w:t>
      </w:r>
      <w:r w:rsidR="00F520DB">
        <w:t xml:space="preserve"> many special considerations</w:t>
      </w:r>
      <w:r w:rsidR="00CE1EF2">
        <w:t xml:space="preserve"> to</w:t>
      </w:r>
      <w:r w:rsidR="00F520DB">
        <w:t xml:space="preserve"> cover</w:t>
      </w:r>
      <w:r w:rsidR="00CE1EF2">
        <w:t xml:space="preserve"> </w:t>
      </w:r>
      <w:r w:rsidR="007B27E8">
        <w:t>adequately</w:t>
      </w:r>
      <w:r w:rsidR="00AB2D53">
        <w:t xml:space="preserve"> </w:t>
      </w:r>
      <w:r w:rsidR="00CE1EF2">
        <w:t>in</w:t>
      </w:r>
      <w:r w:rsidR="00935CE2">
        <w:t xml:space="preserve"> a</w:t>
      </w:r>
      <w:r w:rsidR="00CE1EF2">
        <w:t xml:space="preserve"> typical construction law course</w:t>
      </w:r>
      <w:r w:rsidR="007B27E8">
        <w:t xml:space="preserve">. </w:t>
      </w:r>
      <w:r w:rsidR="002A5C09">
        <w:t>Indeed, fed</w:t>
      </w:r>
      <w:r w:rsidR="001A2492">
        <w:t>er</w:t>
      </w:r>
      <w:r w:rsidR="002A5C09">
        <w:t>al government contact</w:t>
      </w:r>
      <w:r w:rsidR="00916179">
        <w:t>s</w:t>
      </w:r>
      <w:r w:rsidR="00180009">
        <w:t xml:space="preserve"> </w:t>
      </w:r>
      <w:r w:rsidR="00DC3D65">
        <w:t>alone</w:t>
      </w:r>
      <w:r w:rsidR="009D0AB1">
        <w:t xml:space="preserve">, of which federal construction </w:t>
      </w:r>
      <w:r w:rsidR="00BA63BA">
        <w:t>is but one component,</w:t>
      </w:r>
      <w:r w:rsidR="002A5C09">
        <w:t xml:space="preserve"> </w:t>
      </w:r>
      <w:r w:rsidR="007019D6">
        <w:t>constitutes</w:t>
      </w:r>
      <w:r w:rsidR="00180009">
        <w:t xml:space="preserve"> an independent </w:t>
      </w:r>
      <w:r w:rsidR="00CB5334">
        <w:t>practice</w:t>
      </w:r>
      <w:r w:rsidR="00180009">
        <w:t xml:space="preserve"> specia</w:t>
      </w:r>
      <w:r w:rsidR="00A10C7F">
        <w:t>lty</w:t>
      </w:r>
      <w:r w:rsidR="005C7B99">
        <w:t xml:space="preserve">. Much the same can be said of </w:t>
      </w:r>
      <w:r w:rsidR="004B5EBD">
        <w:t>state and local government contract practice. I</w:t>
      </w:r>
      <w:r w:rsidR="00637CEB">
        <w:t>n my classes, I typically touch</w:t>
      </w:r>
      <w:r w:rsidR="00286C06">
        <w:t xml:space="preserve"> lightly</w:t>
      </w:r>
      <w:r w:rsidR="00637CEB">
        <w:t xml:space="preserve"> on public projects, merely to introduce students to the field</w:t>
      </w:r>
      <w:r w:rsidR="008B2322">
        <w:t>. T</w:t>
      </w:r>
      <w:r w:rsidR="00637CEB">
        <w:t>his Supplemental Lesson reflects that approach.</w:t>
      </w:r>
    </w:p>
    <w:p w14:paraId="693B141D" w14:textId="646403CD" w:rsidR="005A2AD3" w:rsidRDefault="00B86225" w:rsidP="002D7C57">
      <w:r>
        <w:tab/>
      </w:r>
      <w:r w:rsidR="007B77A9">
        <w:t>The</w:t>
      </w:r>
      <w:r>
        <w:t xml:space="preserve"> </w:t>
      </w:r>
      <w:r w:rsidR="00C41B64">
        <w:t>foundation</w:t>
      </w:r>
      <w:r w:rsidR="00975871">
        <w:t>al</w:t>
      </w:r>
      <w:r>
        <w:t xml:space="preserve"> principle is that highly developed statutory and regulatory schemes </w:t>
      </w:r>
      <w:r w:rsidR="004E76FE">
        <w:t xml:space="preserve">govern </w:t>
      </w:r>
      <w:r>
        <w:t>public projects</w:t>
      </w:r>
      <w:r w:rsidR="004E76FE">
        <w:t xml:space="preserve">, beginning with procurement practices and </w:t>
      </w:r>
      <w:r w:rsidR="00F63610">
        <w:t xml:space="preserve">continuing </w:t>
      </w:r>
      <w:r w:rsidR="004257AA">
        <w:t>during</w:t>
      </w:r>
      <w:r w:rsidR="00F63610">
        <w:t xml:space="preserve"> contract administration, claims processes, and dispute resolution.</w:t>
      </w:r>
      <w:r w:rsidR="002E3461">
        <w:t xml:space="preserve"> </w:t>
      </w:r>
      <w:r w:rsidR="00554C88">
        <w:t xml:space="preserve">Those who wish to </w:t>
      </w:r>
      <w:r w:rsidR="00225E1B">
        <w:t>present an</w:t>
      </w:r>
      <w:r w:rsidR="00554C88">
        <w:t xml:space="preserve"> overview </w:t>
      </w:r>
      <w:r w:rsidR="00225E1B">
        <w:t>in just one or two</w:t>
      </w:r>
      <w:r w:rsidR="00554C88">
        <w:t xml:space="preserve"> class sessions or </w:t>
      </w:r>
      <w:r w:rsidR="00E17F5F">
        <w:t>who wish</w:t>
      </w:r>
      <w:r w:rsidR="00554C88">
        <w:t xml:space="preserve"> to select </w:t>
      </w:r>
      <w:r w:rsidR="009551AB">
        <w:t xml:space="preserve">introductory </w:t>
      </w:r>
      <w:r w:rsidR="00554C88">
        <w:t xml:space="preserve">reading assignments </w:t>
      </w:r>
      <w:r w:rsidR="00146012">
        <w:t xml:space="preserve">on specific topics </w:t>
      </w:r>
      <w:r w:rsidR="00554C88">
        <w:t>may</w:t>
      </w:r>
      <w:r w:rsidR="00146012">
        <w:t xml:space="preserve"> especially</w:t>
      </w:r>
      <w:r w:rsidR="00554C88">
        <w:t xml:space="preserve"> wish to</w:t>
      </w:r>
      <w:r w:rsidR="00C22606">
        <w:t xml:space="preserve"> </w:t>
      </w:r>
      <w:r w:rsidR="0046200B">
        <w:t>draw on</w:t>
      </w:r>
      <w:r w:rsidR="00554C88">
        <w:t xml:space="preserve"> Chapter 13</w:t>
      </w:r>
      <w:r w:rsidR="00A632F6">
        <w:t xml:space="preserve"> (“</w:t>
      </w:r>
      <w:r w:rsidR="00A632F6" w:rsidRPr="00A632F6">
        <w:rPr>
          <w:i/>
          <w:iCs/>
        </w:rPr>
        <w:t>Government Construction Contracting</w:t>
      </w:r>
      <w:r w:rsidR="00A632F6">
        <w:t>”)</w:t>
      </w:r>
      <w:r w:rsidR="00554C88">
        <w:t xml:space="preserve"> of the American Bar Association’s </w:t>
      </w:r>
      <w:r w:rsidR="00554C88">
        <w:rPr>
          <w:i/>
          <w:iCs/>
        </w:rPr>
        <w:t>Fundamental</w:t>
      </w:r>
      <w:r w:rsidR="00C3450A">
        <w:rPr>
          <w:i/>
          <w:iCs/>
        </w:rPr>
        <w:t>s</w:t>
      </w:r>
      <w:r w:rsidR="00554C88">
        <w:rPr>
          <w:i/>
          <w:iCs/>
        </w:rPr>
        <w:t xml:space="preserve"> of Construction Law</w:t>
      </w:r>
      <w:r w:rsidR="00F72AB4">
        <w:t>, which</w:t>
      </w:r>
      <w:r w:rsidR="009551AB">
        <w:rPr>
          <w:i/>
          <w:iCs/>
        </w:rPr>
        <w:t xml:space="preserve"> </w:t>
      </w:r>
      <w:r w:rsidR="009551AB">
        <w:t xml:space="preserve">is </w:t>
      </w:r>
      <w:r w:rsidR="00554C88">
        <w:t>available on Lexis</w:t>
      </w:r>
      <w:r w:rsidR="00DC3F0A">
        <w:t>,</w:t>
      </w:r>
      <w:r w:rsidR="00554C88">
        <w:t xml:space="preserve"> and </w:t>
      </w:r>
      <w:r w:rsidR="00AE51EB">
        <w:t xml:space="preserve">on </w:t>
      </w:r>
      <w:r w:rsidR="00BE1D1D">
        <w:t>Parts</w:t>
      </w:r>
      <w:r w:rsidR="00554C88">
        <w:t xml:space="preserve"> </w:t>
      </w:r>
      <w:r w:rsidR="00E72FC1">
        <w:t>I</w:t>
      </w:r>
      <w:r w:rsidR="00554C88">
        <w:t xml:space="preserve"> </w:t>
      </w:r>
      <w:r w:rsidR="00960419">
        <w:t>(“</w:t>
      </w:r>
      <w:r w:rsidR="00BE1D1D">
        <w:rPr>
          <w:i/>
          <w:iCs/>
        </w:rPr>
        <w:t>Introduction</w:t>
      </w:r>
      <w:r w:rsidR="00960419">
        <w:t>”) and</w:t>
      </w:r>
      <w:r w:rsidR="00E72FC1">
        <w:t xml:space="preserve"> VIII (“</w:t>
      </w:r>
      <w:r w:rsidR="00E72FC1" w:rsidRPr="00E72FC1">
        <w:rPr>
          <w:i/>
          <w:iCs/>
        </w:rPr>
        <w:t>Construction Contracts</w:t>
      </w:r>
      <w:r w:rsidR="00E72FC1">
        <w:t>”)</w:t>
      </w:r>
      <w:r w:rsidR="00BE1D1D">
        <w:t xml:space="preserve"> </w:t>
      </w:r>
      <w:r w:rsidR="00554C88">
        <w:t>of</w:t>
      </w:r>
      <w:r w:rsidR="00554C88" w:rsidRPr="00712959">
        <w:t xml:space="preserve"> </w:t>
      </w:r>
      <w:r w:rsidR="00554C88">
        <w:t xml:space="preserve">the </w:t>
      </w:r>
      <w:r w:rsidR="00554C88" w:rsidRPr="00EB5318">
        <w:rPr>
          <w:i/>
          <w:iCs/>
        </w:rPr>
        <w:t>Government Contract Guidebook</w:t>
      </w:r>
      <w:r w:rsidR="00F72AB4">
        <w:t>, which is available on Westlaw</w:t>
      </w:r>
      <w:r w:rsidR="005A2AD3">
        <w:t xml:space="preserve">.  </w:t>
      </w:r>
      <w:r w:rsidR="00E301AE">
        <w:t>Another resource for selecting the most important issues to cover is the</w:t>
      </w:r>
      <w:r w:rsidR="00554C88">
        <w:t xml:space="preserve"> American Bar Association’s Forum on Construction Law textbook</w:t>
      </w:r>
      <w:r w:rsidR="00E301AE">
        <w:t>, which</w:t>
      </w:r>
      <w:r w:rsidR="007E2A55">
        <w:t xml:space="preserve"> </w:t>
      </w:r>
      <w:r w:rsidR="007A3D5B">
        <w:t>also includes</w:t>
      </w:r>
      <w:r w:rsidR="00554C88">
        <w:t xml:space="preserve"> several interesting cases</w:t>
      </w:r>
      <w:r w:rsidR="00E30D97">
        <w:t xml:space="preserve"> </w:t>
      </w:r>
      <w:r w:rsidR="00E52FDE">
        <w:t>to consider assigning to students</w:t>
      </w:r>
      <w:r w:rsidR="00B07FAD">
        <w:t xml:space="preserve">. </w:t>
      </w:r>
      <w:r w:rsidR="00AF1D1F">
        <w:rPr>
          <w:i/>
          <w:iCs/>
        </w:rPr>
        <w:t xml:space="preserve">See </w:t>
      </w:r>
      <w:r w:rsidR="0097284D">
        <w:t xml:space="preserve">James, F. Nagle, </w:t>
      </w:r>
      <w:r w:rsidR="001E562E">
        <w:rPr>
          <w:i/>
          <w:iCs/>
        </w:rPr>
        <w:t xml:space="preserve">Public Construction </w:t>
      </w:r>
      <w:r w:rsidR="00860FEC">
        <w:rPr>
          <w:i/>
          <w:iCs/>
        </w:rPr>
        <w:t>Contracting,</w:t>
      </w:r>
      <w:r w:rsidR="00846281">
        <w:t xml:space="preserve"> </w:t>
      </w:r>
      <w:r w:rsidR="00860FEC">
        <w:rPr>
          <w:i/>
          <w:iCs/>
        </w:rPr>
        <w:t xml:space="preserve">in Construction Law </w:t>
      </w:r>
      <w:r w:rsidR="00860FEC">
        <w:t>(2d ed.,</w:t>
      </w:r>
      <w:r w:rsidR="00846281">
        <w:t xml:space="preserve"> Carol J. Patterson, et al</w:t>
      </w:r>
      <w:r w:rsidR="0097284D">
        <w:t>.,</w:t>
      </w:r>
      <w:r w:rsidR="00F1058B">
        <w:t xml:space="preserve"> eds</w:t>
      </w:r>
      <w:r w:rsidR="00ED12CD">
        <w:t>,</w:t>
      </w:r>
      <w:r w:rsidR="0097284D">
        <w:t xml:space="preserve"> 2019)</w:t>
      </w:r>
      <w:r w:rsidR="00ED12CD">
        <w:t xml:space="preserve">, at </w:t>
      </w:r>
      <w:r w:rsidR="003B10D9">
        <w:t>759</w:t>
      </w:r>
      <w:r w:rsidR="00B559F5">
        <w:t>.</w:t>
      </w:r>
      <w:r w:rsidR="00860FEC">
        <w:t xml:space="preserve"> </w:t>
      </w:r>
      <w:r w:rsidR="0021201E" w:rsidRPr="00860FEC">
        <w:t>These</w:t>
      </w:r>
      <w:r w:rsidR="0021201E">
        <w:t xml:space="preserve"> resources emphasize the </w:t>
      </w:r>
      <w:r w:rsidR="000F3FAC">
        <w:t>legal aspects of federal projects</w:t>
      </w:r>
      <w:r w:rsidR="00540CFD">
        <w:t>, which in turn often influence state and local</w:t>
      </w:r>
      <w:r w:rsidR="000E5C89">
        <w:t xml:space="preserve"> law and practice</w:t>
      </w:r>
      <w:r w:rsidR="00C637DF">
        <w:t xml:space="preserve">. </w:t>
      </w:r>
      <w:r w:rsidR="00ED6AD8">
        <w:t xml:space="preserve">State-specific </w:t>
      </w:r>
      <w:r w:rsidR="00D451C7">
        <w:t xml:space="preserve">construction law handbooks and manuals </w:t>
      </w:r>
      <w:r w:rsidR="00C637DF">
        <w:t xml:space="preserve">available </w:t>
      </w:r>
      <w:r w:rsidR="00B07FAD">
        <w:t>in</w:t>
      </w:r>
      <w:r w:rsidR="00C637DF">
        <w:t xml:space="preserve"> many jurisdictions </w:t>
      </w:r>
      <w:r w:rsidR="00B839C6">
        <w:t xml:space="preserve">may </w:t>
      </w:r>
      <w:r w:rsidR="00C83A3D">
        <w:t xml:space="preserve">also </w:t>
      </w:r>
      <w:r w:rsidR="00677D7F">
        <w:t>provide good</w:t>
      </w:r>
      <w:r w:rsidR="004A194C">
        <w:t xml:space="preserve"> te</w:t>
      </w:r>
      <w:r w:rsidR="0087604D">
        <w:t>a</w:t>
      </w:r>
      <w:r w:rsidR="004A194C">
        <w:t>ching</w:t>
      </w:r>
      <w:r w:rsidR="00677D7F">
        <w:t xml:space="preserve"> resources</w:t>
      </w:r>
      <w:r w:rsidR="004016C6">
        <w:t>.</w:t>
      </w:r>
    </w:p>
    <w:p w14:paraId="44A5F829" w14:textId="1B161DF2" w:rsidR="002148E2" w:rsidRDefault="005A2AD3" w:rsidP="00380369">
      <w:r>
        <w:tab/>
      </w:r>
      <w:r w:rsidR="009B779C">
        <w:t>Even the briefest</w:t>
      </w:r>
      <w:r w:rsidR="005171F7">
        <w:t xml:space="preserve"> introductions to public projects will </w:t>
      </w:r>
      <w:r w:rsidR="00623F8B">
        <w:t xml:space="preserve">likely </w:t>
      </w:r>
      <w:r w:rsidR="00B01BCD">
        <w:t>include</w:t>
      </w:r>
      <w:r w:rsidR="005171F7">
        <w:t xml:space="preserve"> </w:t>
      </w:r>
      <w:r w:rsidR="00F618FE">
        <w:t>several</w:t>
      </w:r>
      <w:r w:rsidR="005171F7">
        <w:t xml:space="preserve"> topics</w:t>
      </w:r>
      <w:r w:rsidR="00F11BF1">
        <w:t xml:space="preserve"> that apply from a project</w:t>
      </w:r>
      <w:r w:rsidR="00FF2ADD">
        <w:t>’</w:t>
      </w:r>
      <w:r w:rsidR="00F11BF1">
        <w:t>s start to</w:t>
      </w:r>
      <w:r w:rsidR="00FF2ADD">
        <w:t xml:space="preserve"> its</w:t>
      </w:r>
      <w:r w:rsidR="00F11BF1">
        <w:t xml:space="preserve"> finish</w:t>
      </w:r>
      <w:r w:rsidR="00FF2ADD">
        <w:t xml:space="preserve"> and beyond</w:t>
      </w:r>
      <w:r w:rsidR="00FD3832">
        <w:t>.</w:t>
      </w:r>
      <w:r w:rsidR="00C245C4">
        <w:t xml:space="preserve"> </w:t>
      </w:r>
      <w:r w:rsidR="000D535B">
        <w:t xml:space="preserve">As discussed </w:t>
      </w:r>
      <w:r w:rsidR="00F53D3E">
        <w:t>more fully in Lesson 20</w:t>
      </w:r>
      <w:r w:rsidR="0036646B">
        <w:t>,</w:t>
      </w:r>
      <w:r w:rsidR="00F53D3E">
        <w:t xml:space="preserve"> </w:t>
      </w:r>
      <w:r w:rsidR="0036646B">
        <w:t>c</w:t>
      </w:r>
      <w:r w:rsidR="00F37E18">
        <w:t xml:space="preserve">ompetitive bidding </w:t>
      </w:r>
      <w:r w:rsidR="00CE33F9">
        <w:t>or</w:t>
      </w:r>
      <w:r w:rsidR="00281860">
        <w:t xml:space="preserve"> a</w:t>
      </w:r>
      <w:r w:rsidR="00CE33F9">
        <w:t xml:space="preserve"> regulated negotiated procurement </w:t>
      </w:r>
      <w:r w:rsidR="0033209F">
        <w:t>proce</w:t>
      </w:r>
      <w:r w:rsidR="00FD7A18">
        <w:t>dure</w:t>
      </w:r>
      <w:r w:rsidR="00F37E18">
        <w:t xml:space="preserve"> </w:t>
      </w:r>
      <w:r w:rsidR="00380369">
        <w:t>may</w:t>
      </w:r>
      <w:r w:rsidR="003C27D2">
        <w:t xml:space="preserve"> appl</w:t>
      </w:r>
      <w:r w:rsidR="002F6895">
        <w:t>y</w:t>
      </w:r>
      <w:r w:rsidR="003C27D2">
        <w:t xml:space="preserve"> to </w:t>
      </w:r>
      <w:r w:rsidR="00CE33F9">
        <w:t>selection</w:t>
      </w:r>
      <w:r w:rsidR="00F37E18">
        <w:t xml:space="preserve"> of at least the primary construction work</w:t>
      </w:r>
      <w:r w:rsidR="00281860">
        <w:t xml:space="preserve"> (</w:t>
      </w:r>
      <w:r w:rsidR="0097022F">
        <w:t>thereby</w:t>
      </w:r>
      <w:r w:rsidR="00281860">
        <w:t xml:space="preserve"> often limit</w:t>
      </w:r>
      <w:r w:rsidR="0097022F">
        <w:t>ing</w:t>
      </w:r>
      <w:r w:rsidR="00281860">
        <w:t xml:space="preserve"> the permissible project delivery options)</w:t>
      </w:r>
      <w:r w:rsidR="00CF629B">
        <w:t>. T</w:t>
      </w:r>
      <w:r w:rsidR="003C27D2">
        <w:t xml:space="preserve">hose furnishing design and other professional services may be selected based </w:t>
      </w:r>
      <w:r w:rsidR="00991184">
        <w:t xml:space="preserve">on </w:t>
      </w:r>
      <w:r w:rsidR="00AF2D25">
        <w:t xml:space="preserve">procedures and </w:t>
      </w:r>
      <w:r w:rsidR="0060762D">
        <w:t xml:space="preserve">criteria </w:t>
      </w:r>
      <w:r w:rsidR="00DD4177">
        <w:t>focusing on</w:t>
      </w:r>
      <w:r w:rsidR="0060762D">
        <w:t xml:space="preserve"> qualifications</w:t>
      </w:r>
      <w:r w:rsidR="00AF2D25">
        <w:t>,</w:t>
      </w:r>
      <w:r w:rsidR="0060762D">
        <w:t xml:space="preserve"> experience</w:t>
      </w:r>
      <w:r w:rsidR="00AF2D25">
        <w:t>, and best value</w:t>
      </w:r>
      <w:r w:rsidR="0060762D">
        <w:t>.</w:t>
      </w:r>
      <w:r w:rsidR="00350611">
        <w:t xml:space="preserve"> </w:t>
      </w:r>
      <w:r w:rsidR="00A44446">
        <w:t xml:space="preserve">Also </w:t>
      </w:r>
      <w:r w:rsidR="00F73F4A">
        <w:t>relating</w:t>
      </w:r>
      <w:r w:rsidR="00A44446">
        <w:t xml:space="preserve"> </w:t>
      </w:r>
      <w:r w:rsidR="00A44446" w:rsidRPr="00E943AC">
        <w:t>to procurement</w:t>
      </w:r>
      <w:r w:rsidR="00E943AC">
        <w:t xml:space="preserve"> are</w:t>
      </w:r>
      <w:r w:rsidR="00A44446" w:rsidRPr="00E943AC">
        <w:t xml:space="preserve"> s</w:t>
      </w:r>
      <w:r w:rsidR="00350611" w:rsidRPr="00E943AC">
        <w:t xml:space="preserve">tatutes, regulations, and judicial opinions </w:t>
      </w:r>
      <w:r w:rsidR="001B5A8D" w:rsidRPr="00E943AC">
        <w:t>establish</w:t>
      </w:r>
      <w:r w:rsidR="00E943AC">
        <w:t>ing</w:t>
      </w:r>
      <w:r w:rsidR="001B5A8D" w:rsidRPr="00E943AC">
        <w:t xml:space="preserve"> standards and procedures to</w:t>
      </w:r>
      <w:r w:rsidR="001B5A8D">
        <w:t xml:space="preserve"> protect the integrity of the public bidding </w:t>
      </w:r>
      <w:r w:rsidR="004D636A">
        <w:t>or other</w:t>
      </w:r>
      <w:r w:rsidR="0049457F">
        <w:t xml:space="preserve"> competitive</w:t>
      </w:r>
      <w:r w:rsidR="004D636A">
        <w:t xml:space="preserve"> selection </w:t>
      </w:r>
      <w:r w:rsidR="001B5A8D">
        <w:t xml:space="preserve">process and to </w:t>
      </w:r>
      <w:r w:rsidR="00A32DBA">
        <w:t xml:space="preserve">provide potential </w:t>
      </w:r>
      <w:r w:rsidR="00DA61B7">
        <w:t>(</w:t>
      </w:r>
      <w:r w:rsidR="002F00DC">
        <w:t xml:space="preserve">albeit </w:t>
      </w:r>
      <w:r w:rsidR="00DA61B7">
        <w:t xml:space="preserve">limited) </w:t>
      </w:r>
      <w:r w:rsidR="00A32DBA">
        <w:t xml:space="preserve">remedies </w:t>
      </w:r>
      <w:r w:rsidR="002F00DC">
        <w:t>for</w:t>
      </w:r>
      <w:r w:rsidR="00A32DBA">
        <w:t xml:space="preserve"> disappointed bidders</w:t>
      </w:r>
      <w:r w:rsidR="004D636A">
        <w:t xml:space="preserve"> or candidates</w:t>
      </w:r>
      <w:r w:rsidR="001C1A09">
        <w:t>, such as</w:t>
      </w:r>
      <w:r w:rsidR="00A32DBA">
        <w:t xml:space="preserve"> bid protest procedures</w:t>
      </w:r>
      <w:r w:rsidR="00EB4C60">
        <w:t>.</w:t>
      </w:r>
      <w:r w:rsidR="008F0063">
        <w:t xml:space="preserve"> </w:t>
      </w:r>
      <w:r w:rsidR="00EA05B5">
        <w:t>For some projects,</w:t>
      </w:r>
      <w:r w:rsidR="00375734">
        <w:t xml:space="preserve"> depending on</w:t>
      </w:r>
      <w:r w:rsidR="00AB4409">
        <w:t xml:space="preserve"> the</w:t>
      </w:r>
      <w:r w:rsidR="00375734">
        <w:t xml:space="preserve"> </w:t>
      </w:r>
      <w:r w:rsidR="00AB4409">
        <w:t>prevailing political environment</w:t>
      </w:r>
      <w:r w:rsidR="003F4BCD">
        <w:t>,</w:t>
      </w:r>
      <w:r w:rsidR="00EA05B5">
        <w:t xml:space="preserve"> the</w:t>
      </w:r>
      <w:r w:rsidR="003F4BCD">
        <w:t xml:space="preserve"> process for </w:t>
      </w:r>
      <w:r w:rsidR="003F4BCD">
        <w:lastRenderedPageBreak/>
        <w:t>selecting</w:t>
      </w:r>
      <w:r w:rsidR="00EA05B5">
        <w:t xml:space="preserve"> </w:t>
      </w:r>
      <w:r w:rsidR="00132E14">
        <w:t xml:space="preserve">qualified or successful </w:t>
      </w:r>
      <w:r w:rsidR="000B31FA">
        <w:t>project participants</w:t>
      </w:r>
      <w:r w:rsidR="00132E14">
        <w:t xml:space="preserve"> may </w:t>
      </w:r>
      <w:r w:rsidR="008D7716">
        <w:t>involve</w:t>
      </w:r>
      <w:r w:rsidR="00132E14">
        <w:t xml:space="preserve"> </w:t>
      </w:r>
      <w:r w:rsidR="0032403D">
        <w:t>preferences</w:t>
      </w:r>
      <w:r w:rsidR="00EA05B5">
        <w:t xml:space="preserve"> </w:t>
      </w:r>
      <w:r w:rsidR="00132E14">
        <w:t>programs</w:t>
      </w:r>
      <w:r w:rsidR="003F4BCD">
        <w:t xml:space="preserve"> </w:t>
      </w:r>
      <w:r w:rsidR="00AD075B">
        <w:t>favor</w:t>
      </w:r>
      <w:r w:rsidR="003F4BCD">
        <w:t>ing</w:t>
      </w:r>
      <w:r w:rsidR="00132E14">
        <w:t xml:space="preserve"> domestic or local contractors or suppliers or those in </w:t>
      </w:r>
      <w:r w:rsidR="00032971">
        <w:t>designated</w:t>
      </w:r>
      <w:r w:rsidR="00132E14">
        <w:t xml:space="preserve"> categories</w:t>
      </w:r>
      <w:r w:rsidR="00032971">
        <w:t xml:space="preserve"> (such as small or disadvantaged business entities</w:t>
      </w:r>
      <w:r w:rsidR="00AD075B">
        <w:t>).</w:t>
      </w:r>
      <w:r w:rsidR="00EA05B5">
        <w:t xml:space="preserve"> </w:t>
      </w:r>
      <w:r w:rsidR="008F0063">
        <w:t xml:space="preserve">Beyond the procurement process, </w:t>
      </w:r>
      <w:r w:rsidR="00DB6285">
        <w:t>public construction projects involve</w:t>
      </w:r>
      <w:r w:rsidR="0026570E">
        <w:t xml:space="preserve"> many other</w:t>
      </w:r>
      <w:r w:rsidR="00DB6285">
        <w:t xml:space="preserve"> highly specialize</w:t>
      </w:r>
      <w:r w:rsidR="00EE0588">
        <w:t xml:space="preserve">d </w:t>
      </w:r>
      <w:r w:rsidR="0026570E">
        <w:t>considerations. For example, statutes</w:t>
      </w:r>
      <w:r w:rsidR="001215E1">
        <w:t>,</w:t>
      </w:r>
      <w:r w:rsidR="0026570E">
        <w:t xml:space="preserve"> regulations</w:t>
      </w:r>
      <w:r w:rsidR="001215E1">
        <w:t>, and agency policies</w:t>
      </w:r>
      <w:r w:rsidR="0026570E">
        <w:t xml:space="preserve"> may dictate certain </w:t>
      </w:r>
      <w:r w:rsidR="00EE0588">
        <w:t xml:space="preserve">contract provisions, </w:t>
      </w:r>
      <w:r w:rsidR="008054CB">
        <w:t xml:space="preserve">such </w:t>
      </w:r>
      <w:r w:rsidR="0026570E">
        <w:t xml:space="preserve">as </w:t>
      </w:r>
      <w:r w:rsidR="008054CB">
        <w:t>those that</w:t>
      </w:r>
      <w:r w:rsidR="0026570E">
        <w:t xml:space="preserve"> the Federal Acquisition Regulation</w:t>
      </w:r>
      <w:r w:rsidR="006376AA">
        <w:t xml:space="preserve"> </w:t>
      </w:r>
      <w:r w:rsidR="0062241E">
        <w:t>specif</w:t>
      </w:r>
      <w:r w:rsidR="006A1191">
        <w:t>ies</w:t>
      </w:r>
      <w:r w:rsidR="0062241E">
        <w:t xml:space="preserve"> for</w:t>
      </w:r>
      <w:r w:rsidR="006376AA">
        <w:t xml:space="preserve"> </w:t>
      </w:r>
      <w:r w:rsidR="00FC0DC1">
        <w:t>many federal government projects</w:t>
      </w:r>
      <w:r w:rsidR="00166D44">
        <w:t xml:space="preserve"> and which will vary</w:t>
      </w:r>
      <w:r w:rsidR="00DB08D4">
        <w:t xml:space="preserve"> depending</w:t>
      </w:r>
      <w:r w:rsidR="00DC7F1E">
        <w:t xml:space="preserve"> on the nature of the project and the specific agency involved. </w:t>
      </w:r>
      <w:r w:rsidR="00E55A00">
        <w:t>Required or standard contractual provisions</w:t>
      </w:r>
      <w:r w:rsidR="00694AC9">
        <w:t xml:space="preserve"> and practices</w:t>
      </w:r>
      <w:r w:rsidR="000C1940">
        <w:t xml:space="preserve"> may address such matters as the payment process (</w:t>
      </w:r>
      <w:r w:rsidR="00B03DD0">
        <w:t>e.g.,</w:t>
      </w:r>
      <w:r w:rsidR="000C1940">
        <w:t xml:space="preserve"> prompt payment laws</w:t>
      </w:r>
      <w:r w:rsidR="00ED20AF">
        <w:t xml:space="preserve"> and</w:t>
      </w:r>
      <w:r w:rsidR="000C1940">
        <w:t xml:space="preserve"> </w:t>
      </w:r>
      <w:r w:rsidR="002D6D64">
        <w:t>surety bond</w:t>
      </w:r>
      <w:r w:rsidR="00DB08D4">
        <w:t>ing</w:t>
      </w:r>
      <w:r w:rsidR="002D6D64">
        <w:t xml:space="preserve"> requirements), labor and employment details</w:t>
      </w:r>
      <w:r w:rsidR="00A84A26">
        <w:t xml:space="preserve"> (including prevailing wage</w:t>
      </w:r>
      <w:r w:rsidR="00EA05B5">
        <w:t xml:space="preserve"> standards and requirements for project labor agreements)</w:t>
      </w:r>
      <w:r w:rsidR="002D6D64">
        <w:t xml:space="preserve">, </w:t>
      </w:r>
      <w:r w:rsidR="00991CAC">
        <w:t>anti-fraud and anti-corruption rules,</w:t>
      </w:r>
      <w:r w:rsidR="004C254A">
        <w:t xml:space="preserve"> </w:t>
      </w:r>
      <w:r w:rsidR="00125EA1">
        <w:t>modified</w:t>
      </w:r>
      <w:r w:rsidR="004C254A">
        <w:t xml:space="preserve"> principles</w:t>
      </w:r>
      <w:r w:rsidR="00F02920">
        <w:t xml:space="preserve"> of agency</w:t>
      </w:r>
      <w:r w:rsidR="00125EA1">
        <w:t xml:space="preserve"> law</w:t>
      </w:r>
      <w:r w:rsidR="00F02920">
        <w:t xml:space="preserve"> (</w:t>
      </w:r>
      <w:r w:rsidR="004C254A">
        <w:t>often requiring</w:t>
      </w:r>
      <w:r w:rsidR="00CA4630">
        <w:t xml:space="preserve"> actual rather than apparent authority</w:t>
      </w:r>
      <w:r w:rsidR="0065401B">
        <w:t xml:space="preserve"> to bind the government</w:t>
      </w:r>
      <w:r w:rsidR="00CA4630">
        <w:t>),</w:t>
      </w:r>
      <w:r w:rsidR="00991CAC">
        <w:t xml:space="preserve"> detailed claims and dispute resolution</w:t>
      </w:r>
      <w:r w:rsidR="001E1952">
        <w:t xml:space="preserve"> processes, and</w:t>
      </w:r>
      <w:r w:rsidR="000C1CF4">
        <w:t xml:space="preserve"> proceedings in</w:t>
      </w:r>
      <w:r w:rsidR="001E1952">
        <w:t xml:space="preserve"> specialized courts and administrative bodies</w:t>
      </w:r>
      <w:r w:rsidR="002148E2">
        <w:t>.</w:t>
      </w:r>
      <w:r w:rsidR="005D50A3">
        <w:t xml:space="preserve"> </w:t>
      </w:r>
      <w:r w:rsidR="00FE4A8B">
        <w:t>The doctrines of sovereign immunity and sovereign acts also limit t</w:t>
      </w:r>
      <w:r w:rsidR="00C5056F">
        <w:t>he liability of governments and governmental agencies</w:t>
      </w:r>
      <w:r w:rsidR="00E72B26">
        <w:t xml:space="preserve"> in important ways.</w:t>
      </w:r>
    </w:p>
    <w:p w14:paraId="602FE525" w14:textId="5250A61F" w:rsidR="00AE3C9B" w:rsidRDefault="00AE3C9B" w:rsidP="002D7C57">
      <w:r>
        <w:tab/>
      </w:r>
      <w:r w:rsidR="009D310E">
        <w:t xml:space="preserve">In addition to the general resources described above, </w:t>
      </w:r>
      <w:r w:rsidR="00505429">
        <w:t>here is a short list of</w:t>
      </w:r>
      <w:r w:rsidR="00555599">
        <w:t xml:space="preserve"> </w:t>
      </w:r>
      <w:r w:rsidR="009C6BDA">
        <w:t>resources</w:t>
      </w:r>
      <w:r w:rsidR="00505429">
        <w:t xml:space="preserve"> </w:t>
      </w:r>
      <w:r w:rsidR="00884426">
        <w:t>offering</w:t>
      </w:r>
      <w:r w:rsidR="00EB78F8">
        <w:t xml:space="preserve"> more detailed </w:t>
      </w:r>
      <w:r w:rsidR="00884426">
        <w:t>treatments of</w:t>
      </w:r>
      <w:r w:rsidR="00EB78F8">
        <w:t xml:space="preserve"> discrete topics</w:t>
      </w:r>
      <w:r w:rsidR="00981C10">
        <w:t>, although some details may deserve updating</w:t>
      </w:r>
      <w:r w:rsidR="00FD0A6E">
        <w:t xml:space="preserve"> to account for more recent developments</w:t>
      </w:r>
      <w:r w:rsidR="00EB78F8">
        <w:t>:</w:t>
      </w:r>
    </w:p>
    <w:p w14:paraId="645B552E" w14:textId="37118710" w:rsidR="001C32AA" w:rsidRDefault="001C32AA" w:rsidP="00EB78F8">
      <w:pPr>
        <w:pStyle w:val="ListParagraph"/>
        <w:numPr>
          <w:ilvl w:val="0"/>
          <w:numId w:val="2"/>
        </w:numPr>
      </w:pPr>
      <w:r w:rsidRPr="001C14AA">
        <w:rPr>
          <w:i/>
          <w:iCs/>
        </w:rPr>
        <w:t>Government Contracts: Federal Acquisition Regulation (FAR) Overview</w:t>
      </w:r>
      <w:r w:rsidRPr="001C14AA">
        <w:t>, Practical Law Practice Note Overview w-021-9160</w:t>
      </w:r>
      <w:r>
        <w:t xml:space="preserve"> (</w:t>
      </w:r>
      <w:r w:rsidR="00586C0F">
        <w:t xml:space="preserve">Practical Law, </w:t>
      </w:r>
      <w:r>
        <w:t>Westlaw 2026)</w:t>
      </w:r>
      <w:r w:rsidR="00C57989">
        <w:t>.</w:t>
      </w:r>
    </w:p>
    <w:p w14:paraId="3CD686EA" w14:textId="73F6F67F" w:rsidR="00EB78F8" w:rsidRDefault="00EB78F8" w:rsidP="00EB78F8">
      <w:pPr>
        <w:pStyle w:val="ListParagraph"/>
        <w:numPr>
          <w:ilvl w:val="0"/>
          <w:numId w:val="2"/>
        </w:numPr>
      </w:pPr>
      <w:r w:rsidRPr="003419CC">
        <w:t xml:space="preserve">Michelle D. Coleman, David B. Wonderlick, Andrew D. Ness, </w:t>
      </w:r>
      <w:r w:rsidRPr="00BB2344">
        <w:rPr>
          <w:i/>
          <w:iCs/>
        </w:rPr>
        <w:t>Navigating the Federal Government Claims Process Requirements</w:t>
      </w:r>
      <w:r w:rsidRPr="003419CC">
        <w:t xml:space="preserve">, </w:t>
      </w:r>
      <w:r w:rsidR="005B5DC5">
        <w:t xml:space="preserve">43 </w:t>
      </w:r>
      <w:r w:rsidRPr="003419CC">
        <w:t>Constr. Law.</w:t>
      </w:r>
      <w:r w:rsidR="005B5DC5">
        <w:t xml:space="preserve"> 8</w:t>
      </w:r>
      <w:r w:rsidRPr="003419CC">
        <w:t xml:space="preserve"> </w:t>
      </w:r>
      <w:r w:rsidR="007046F1">
        <w:t>(</w:t>
      </w:r>
      <w:r w:rsidRPr="003419CC">
        <w:t>Summer 2024</w:t>
      </w:r>
      <w:r w:rsidR="007046F1">
        <w:t>)</w:t>
      </w:r>
      <w:r w:rsidR="00A00480">
        <w:t>.</w:t>
      </w:r>
    </w:p>
    <w:p w14:paraId="29488087" w14:textId="189B87BD" w:rsidR="0015328B" w:rsidRPr="00D17FA7" w:rsidRDefault="0015328B" w:rsidP="0015328B">
      <w:pPr>
        <w:pStyle w:val="ListParagraph"/>
        <w:numPr>
          <w:ilvl w:val="0"/>
          <w:numId w:val="2"/>
        </w:numPr>
      </w:pPr>
      <w:r w:rsidRPr="00D17FA7">
        <w:t xml:space="preserve">Kelli E. Goss, L. Tyrone Holt, James F. Butler III, </w:t>
      </w:r>
      <w:r w:rsidRPr="00BB2344">
        <w:rPr>
          <w:i/>
          <w:iCs/>
        </w:rPr>
        <w:t xml:space="preserve">Claims and Disputes Against </w:t>
      </w:r>
      <w:r w:rsidR="00AB7312">
        <w:rPr>
          <w:i/>
          <w:iCs/>
        </w:rPr>
        <w:t>a</w:t>
      </w:r>
      <w:r w:rsidRPr="00BB2344">
        <w:rPr>
          <w:i/>
          <w:iCs/>
        </w:rPr>
        <w:t xml:space="preserve"> State or Local Government Owner: What Construction Attorneys Should Know</w:t>
      </w:r>
      <w:r w:rsidRPr="00D17FA7">
        <w:t xml:space="preserve">, </w:t>
      </w:r>
      <w:r w:rsidR="003E349F">
        <w:t xml:space="preserve">40 </w:t>
      </w:r>
      <w:r w:rsidRPr="00D17FA7">
        <w:t>Constr. Law.</w:t>
      </w:r>
      <w:r w:rsidR="003E349F">
        <w:t xml:space="preserve"> 15</w:t>
      </w:r>
      <w:r w:rsidRPr="00D17FA7">
        <w:t xml:space="preserve"> </w:t>
      </w:r>
      <w:r w:rsidR="003E349F">
        <w:t>(</w:t>
      </w:r>
      <w:r w:rsidRPr="00D17FA7">
        <w:t>Winter 2020</w:t>
      </w:r>
      <w:r w:rsidR="003E349F">
        <w:t>)</w:t>
      </w:r>
      <w:r>
        <w:t>.</w:t>
      </w:r>
    </w:p>
    <w:p w14:paraId="45A01668" w14:textId="5F66BA2A" w:rsidR="00FD0A6E" w:rsidRDefault="00FD0A6E" w:rsidP="00FD0A6E">
      <w:pPr>
        <w:pStyle w:val="ListParagraph"/>
        <w:numPr>
          <w:ilvl w:val="0"/>
          <w:numId w:val="2"/>
        </w:numPr>
      </w:pPr>
      <w:r w:rsidRPr="004E3AF5">
        <w:t xml:space="preserve">Lori Ann Lange, </w:t>
      </w:r>
      <w:r w:rsidRPr="00BB2344">
        <w:rPr>
          <w:i/>
          <w:iCs/>
        </w:rPr>
        <w:t>Navigating the Increasingly Complex Regulatory Environment of Government Contracts</w:t>
      </w:r>
      <w:r w:rsidRPr="004E3AF5">
        <w:t xml:space="preserve">, </w:t>
      </w:r>
      <w:r w:rsidR="0008662D">
        <w:t xml:space="preserve">36 </w:t>
      </w:r>
      <w:r w:rsidRPr="004E3AF5">
        <w:t>Constr. Law.</w:t>
      </w:r>
      <w:r w:rsidR="0008662D">
        <w:t xml:space="preserve"> 28</w:t>
      </w:r>
      <w:r w:rsidRPr="004E3AF5">
        <w:t xml:space="preserve"> </w:t>
      </w:r>
      <w:r w:rsidR="0008662D">
        <w:t>(</w:t>
      </w:r>
      <w:r w:rsidRPr="004E3AF5">
        <w:t>Spring 2016</w:t>
      </w:r>
      <w:r w:rsidR="0008662D">
        <w:t>)</w:t>
      </w:r>
      <w:r w:rsidR="00FA570D">
        <w:t>.</w:t>
      </w:r>
    </w:p>
    <w:p w14:paraId="421E26C4" w14:textId="120D9F43" w:rsidR="00EB78F8" w:rsidRDefault="00EB78F8" w:rsidP="00EB78F8">
      <w:pPr>
        <w:pStyle w:val="ListParagraph"/>
        <w:numPr>
          <w:ilvl w:val="0"/>
          <w:numId w:val="2"/>
        </w:numPr>
      </w:pPr>
      <w:r w:rsidRPr="00D17FA7">
        <w:t xml:space="preserve">Peter C. Halls, </w:t>
      </w:r>
      <w:r w:rsidRPr="00BB2344">
        <w:rPr>
          <w:i/>
          <w:iCs/>
        </w:rPr>
        <w:t>Issues for Designers, Contractors, and Suppliers to Public Private Partnership Projects</w:t>
      </w:r>
      <w:r w:rsidRPr="00D17FA7">
        <w:t xml:space="preserve">, </w:t>
      </w:r>
      <w:r w:rsidR="002E274F">
        <w:t xml:space="preserve">30 </w:t>
      </w:r>
      <w:r w:rsidRPr="00D17FA7">
        <w:t>Constr. Law.</w:t>
      </w:r>
      <w:r w:rsidR="002E274F">
        <w:t xml:space="preserve"> 22</w:t>
      </w:r>
      <w:r w:rsidRPr="00D17FA7">
        <w:t xml:space="preserve"> </w:t>
      </w:r>
      <w:r w:rsidR="002E274F">
        <w:t>(</w:t>
      </w:r>
      <w:r w:rsidRPr="00D17FA7">
        <w:t>Summer 2010</w:t>
      </w:r>
      <w:r w:rsidR="002E274F">
        <w:t>)</w:t>
      </w:r>
      <w:r w:rsidR="00FA570D">
        <w:t>.</w:t>
      </w:r>
    </w:p>
    <w:p w14:paraId="1546CF22" w14:textId="77777777" w:rsidR="00EB78F8" w:rsidRDefault="00EB78F8" w:rsidP="00203A30">
      <w:pPr>
        <w:pStyle w:val="ListParagraph"/>
      </w:pPr>
    </w:p>
    <w:p w14:paraId="02394715" w14:textId="3256592F" w:rsidR="001C14AA" w:rsidRPr="001C14AA" w:rsidRDefault="001C14AA" w:rsidP="001C14AA">
      <w:pPr>
        <w:pStyle w:val="ListParagraph"/>
      </w:pPr>
    </w:p>
    <w:p w14:paraId="0F3ACB46" w14:textId="77777777" w:rsidR="001C14AA" w:rsidRDefault="001C14AA" w:rsidP="00203A30">
      <w:pPr>
        <w:pStyle w:val="ListParagraph"/>
      </w:pPr>
    </w:p>
    <w:sectPr w:rsidR="001C14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BEDD" w14:textId="77777777" w:rsidR="00251412" w:rsidRDefault="00251412" w:rsidP="002D7C57">
      <w:pPr>
        <w:spacing w:after="0" w:line="240" w:lineRule="auto"/>
      </w:pPr>
      <w:r>
        <w:separator/>
      </w:r>
    </w:p>
  </w:endnote>
  <w:endnote w:type="continuationSeparator" w:id="0">
    <w:p w14:paraId="187CE015" w14:textId="77777777" w:rsidR="00251412" w:rsidRDefault="00251412" w:rsidP="002D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537238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74A17" w14:textId="70EEB0D3" w:rsidR="002D7C57" w:rsidRPr="002D7C57" w:rsidRDefault="002D7C57">
        <w:pPr>
          <w:pStyle w:val="Footer"/>
          <w:jc w:val="center"/>
          <w:rPr>
            <w:rFonts w:asciiTheme="majorHAnsi" w:hAnsiTheme="majorHAnsi"/>
          </w:rPr>
        </w:pPr>
        <w:r w:rsidRPr="002D7C57">
          <w:rPr>
            <w:rFonts w:asciiTheme="majorHAnsi" w:hAnsiTheme="majorHAnsi"/>
          </w:rPr>
          <w:fldChar w:fldCharType="begin"/>
        </w:r>
        <w:r w:rsidRPr="002D7C57">
          <w:rPr>
            <w:rFonts w:asciiTheme="majorHAnsi" w:hAnsiTheme="majorHAnsi"/>
          </w:rPr>
          <w:instrText xml:space="preserve"> PAGE   \* MERGEFORMAT </w:instrText>
        </w:r>
        <w:r w:rsidRPr="002D7C57">
          <w:rPr>
            <w:rFonts w:asciiTheme="majorHAnsi" w:hAnsiTheme="majorHAnsi"/>
          </w:rPr>
          <w:fldChar w:fldCharType="separate"/>
        </w:r>
        <w:r w:rsidRPr="002D7C57">
          <w:rPr>
            <w:rFonts w:asciiTheme="majorHAnsi" w:hAnsiTheme="majorHAnsi"/>
            <w:noProof/>
          </w:rPr>
          <w:t>2</w:t>
        </w:r>
        <w:r w:rsidRPr="002D7C57">
          <w:rPr>
            <w:rFonts w:asciiTheme="majorHAnsi" w:hAnsiTheme="majorHAnsi"/>
            <w:noProof/>
          </w:rPr>
          <w:fldChar w:fldCharType="end"/>
        </w:r>
      </w:p>
    </w:sdtContent>
  </w:sdt>
  <w:p w14:paraId="1ED1D768" w14:textId="77777777" w:rsidR="002D7C57" w:rsidRPr="002D7C57" w:rsidRDefault="002D7C57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6958" w14:textId="77777777" w:rsidR="00251412" w:rsidRDefault="00251412" w:rsidP="002D7C57">
      <w:pPr>
        <w:spacing w:after="0" w:line="240" w:lineRule="auto"/>
      </w:pPr>
      <w:r>
        <w:separator/>
      </w:r>
    </w:p>
  </w:footnote>
  <w:footnote w:type="continuationSeparator" w:id="0">
    <w:p w14:paraId="3E3FCC18" w14:textId="77777777" w:rsidR="00251412" w:rsidRDefault="00251412" w:rsidP="002D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91D7" w14:textId="25B84B7E" w:rsidR="002D7C57" w:rsidRDefault="002D7C57">
    <w:pPr>
      <w:pStyle w:val="Header"/>
    </w:pPr>
    <w:r>
      <w:t>Work-in-progress © Carl J. Circo March 2026</w:t>
    </w:r>
  </w:p>
  <w:p w14:paraId="111E699A" w14:textId="77777777" w:rsidR="002D7C57" w:rsidRDefault="002D7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33F"/>
    <w:multiLevelType w:val="hybridMultilevel"/>
    <w:tmpl w:val="372C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560"/>
    <w:multiLevelType w:val="hybridMultilevel"/>
    <w:tmpl w:val="86B8DE3A"/>
    <w:lvl w:ilvl="0" w:tplc="E34EE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89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82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C3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68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43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AB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EC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8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9E0BA0"/>
    <w:multiLevelType w:val="hybridMultilevel"/>
    <w:tmpl w:val="5042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51217">
    <w:abstractNumId w:val="1"/>
  </w:num>
  <w:num w:numId="2" w16cid:durableId="410003037">
    <w:abstractNumId w:val="0"/>
  </w:num>
  <w:num w:numId="3" w16cid:durableId="4064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7"/>
    <w:rsid w:val="00032971"/>
    <w:rsid w:val="00050A8C"/>
    <w:rsid w:val="0007378A"/>
    <w:rsid w:val="00074D2F"/>
    <w:rsid w:val="0008552C"/>
    <w:rsid w:val="0008662D"/>
    <w:rsid w:val="000910C8"/>
    <w:rsid w:val="00091519"/>
    <w:rsid w:val="000921ED"/>
    <w:rsid w:val="000938D4"/>
    <w:rsid w:val="000A58D9"/>
    <w:rsid w:val="000B31FA"/>
    <w:rsid w:val="000B68BF"/>
    <w:rsid w:val="000C1940"/>
    <w:rsid w:val="000C1CF4"/>
    <w:rsid w:val="000D535B"/>
    <w:rsid w:val="000E5C89"/>
    <w:rsid w:val="000F3FAC"/>
    <w:rsid w:val="001215E1"/>
    <w:rsid w:val="00125EA1"/>
    <w:rsid w:val="001328F7"/>
    <w:rsid w:val="00132E14"/>
    <w:rsid w:val="00141F6A"/>
    <w:rsid w:val="00144FFF"/>
    <w:rsid w:val="00146012"/>
    <w:rsid w:val="0015328B"/>
    <w:rsid w:val="00166D44"/>
    <w:rsid w:val="00170694"/>
    <w:rsid w:val="00174080"/>
    <w:rsid w:val="00180009"/>
    <w:rsid w:val="001A2492"/>
    <w:rsid w:val="001A5481"/>
    <w:rsid w:val="001B5A8D"/>
    <w:rsid w:val="001C14AA"/>
    <w:rsid w:val="001C1A09"/>
    <w:rsid w:val="001C32AA"/>
    <w:rsid w:val="001E1952"/>
    <w:rsid w:val="001E4A6E"/>
    <w:rsid w:val="001E562E"/>
    <w:rsid w:val="001F67CD"/>
    <w:rsid w:val="00203A30"/>
    <w:rsid w:val="0021201E"/>
    <w:rsid w:val="002148E2"/>
    <w:rsid w:val="00225E1B"/>
    <w:rsid w:val="00240200"/>
    <w:rsid w:val="00251412"/>
    <w:rsid w:val="00262964"/>
    <w:rsid w:val="0026570E"/>
    <w:rsid w:val="002738AC"/>
    <w:rsid w:val="00281860"/>
    <w:rsid w:val="00286C06"/>
    <w:rsid w:val="00291265"/>
    <w:rsid w:val="002A5C09"/>
    <w:rsid w:val="002B47E3"/>
    <w:rsid w:val="002C40F4"/>
    <w:rsid w:val="002D5231"/>
    <w:rsid w:val="002D6D64"/>
    <w:rsid w:val="002D7C57"/>
    <w:rsid w:val="002E1644"/>
    <w:rsid w:val="002E274F"/>
    <w:rsid w:val="002E3461"/>
    <w:rsid w:val="002E5AD7"/>
    <w:rsid w:val="002F00DC"/>
    <w:rsid w:val="002F6895"/>
    <w:rsid w:val="002F74CE"/>
    <w:rsid w:val="0032403D"/>
    <w:rsid w:val="0033209F"/>
    <w:rsid w:val="003419CC"/>
    <w:rsid w:val="003459F0"/>
    <w:rsid w:val="00350611"/>
    <w:rsid w:val="0036646B"/>
    <w:rsid w:val="00375734"/>
    <w:rsid w:val="00380369"/>
    <w:rsid w:val="0039076F"/>
    <w:rsid w:val="0039755E"/>
    <w:rsid w:val="003B10D9"/>
    <w:rsid w:val="003C27D2"/>
    <w:rsid w:val="003D4CEC"/>
    <w:rsid w:val="003E349F"/>
    <w:rsid w:val="003F4BCD"/>
    <w:rsid w:val="003F5787"/>
    <w:rsid w:val="004016C6"/>
    <w:rsid w:val="00412FA4"/>
    <w:rsid w:val="0041360E"/>
    <w:rsid w:val="0041613C"/>
    <w:rsid w:val="004257AA"/>
    <w:rsid w:val="0043050D"/>
    <w:rsid w:val="004352A5"/>
    <w:rsid w:val="0045239C"/>
    <w:rsid w:val="00457137"/>
    <w:rsid w:val="0046200B"/>
    <w:rsid w:val="0046692A"/>
    <w:rsid w:val="0046748B"/>
    <w:rsid w:val="0049457F"/>
    <w:rsid w:val="004A194C"/>
    <w:rsid w:val="004A5378"/>
    <w:rsid w:val="004A5CFD"/>
    <w:rsid w:val="004B5EBD"/>
    <w:rsid w:val="004C254A"/>
    <w:rsid w:val="004D636A"/>
    <w:rsid w:val="004E3AF5"/>
    <w:rsid w:val="004E76FE"/>
    <w:rsid w:val="004F2F64"/>
    <w:rsid w:val="00505429"/>
    <w:rsid w:val="005171F7"/>
    <w:rsid w:val="005202E2"/>
    <w:rsid w:val="00536144"/>
    <w:rsid w:val="00540CFD"/>
    <w:rsid w:val="00554C88"/>
    <w:rsid w:val="00555599"/>
    <w:rsid w:val="0055610F"/>
    <w:rsid w:val="00586C0F"/>
    <w:rsid w:val="005A2AD3"/>
    <w:rsid w:val="005B1623"/>
    <w:rsid w:val="005B5DC5"/>
    <w:rsid w:val="005C390E"/>
    <w:rsid w:val="005C7B99"/>
    <w:rsid w:val="005D50A3"/>
    <w:rsid w:val="005D537B"/>
    <w:rsid w:val="0060762D"/>
    <w:rsid w:val="006128CC"/>
    <w:rsid w:val="0062241E"/>
    <w:rsid w:val="00623284"/>
    <w:rsid w:val="00623F8B"/>
    <w:rsid w:val="006376AA"/>
    <w:rsid w:val="00637CEB"/>
    <w:rsid w:val="0065401B"/>
    <w:rsid w:val="006759F1"/>
    <w:rsid w:val="00677D7F"/>
    <w:rsid w:val="00694AC9"/>
    <w:rsid w:val="006A1191"/>
    <w:rsid w:val="006C14D8"/>
    <w:rsid w:val="006C48E6"/>
    <w:rsid w:val="006E0C1C"/>
    <w:rsid w:val="006F0A3C"/>
    <w:rsid w:val="006F329B"/>
    <w:rsid w:val="007019D6"/>
    <w:rsid w:val="007031E3"/>
    <w:rsid w:val="007046F1"/>
    <w:rsid w:val="00712959"/>
    <w:rsid w:val="0071620C"/>
    <w:rsid w:val="007244B8"/>
    <w:rsid w:val="00725700"/>
    <w:rsid w:val="007261B6"/>
    <w:rsid w:val="00733A13"/>
    <w:rsid w:val="00735035"/>
    <w:rsid w:val="00743C0D"/>
    <w:rsid w:val="007455DC"/>
    <w:rsid w:val="0075122D"/>
    <w:rsid w:val="00794D55"/>
    <w:rsid w:val="007A3D5B"/>
    <w:rsid w:val="007B27E8"/>
    <w:rsid w:val="007B6F88"/>
    <w:rsid w:val="007B77A9"/>
    <w:rsid w:val="007C2E1B"/>
    <w:rsid w:val="007D3C34"/>
    <w:rsid w:val="007E2A55"/>
    <w:rsid w:val="007F05A9"/>
    <w:rsid w:val="007F6A12"/>
    <w:rsid w:val="008054CB"/>
    <w:rsid w:val="00846281"/>
    <w:rsid w:val="00860FEC"/>
    <w:rsid w:val="0087008B"/>
    <w:rsid w:val="0087034E"/>
    <w:rsid w:val="0087604D"/>
    <w:rsid w:val="00883155"/>
    <w:rsid w:val="00884426"/>
    <w:rsid w:val="0089641B"/>
    <w:rsid w:val="008B2322"/>
    <w:rsid w:val="008B307E"/>
    <w:rsid w:val="008D7716"/>
    <w:rsid w:val="008F0063"/>
    <w:rsid w:val="008F3368"/>
    <w:rsid w:val="0091135F"/>
    <w:rsid w:val="00911ED6"/>
    <w:rsid w:val="00916179"/>
    <w:rsid w:val="00934003"/>
    <w:rsid w:val="00935CE2"/>
    <w:rsid w:val="009377B4"/>
    <w:rsid w:val="00952825"/>
    <w:rsid w:val="009551AB"/>
    <w:rsid w:val="00960419"/>
    <w:rsid w:val="0097022F"/>
    <w:rsid w:val="0097284D"/>
    <w:rsid w:val="00975871"/>
    <w:rsid w:val="00981C10"/>
    <w:rsid w:val="00990597"/>
    <w:rsid w:val="00991184"/>
    <w:rsid w:val="00991CAC"/>
    <w:rsid w:val="009B37CC"/>
    <w:rsid w:val="009B779C"/>
    <w:rsid w:val="009C6BDA"/>
    <w:rsid w:val="009C7FD8"/>
    <w:rsid w:val="009D0AB1"/>
    <w:rsid w:val="009D310E"/>
    <w:rsid w:val="00A00480"/>
    <w:rsid w:val="00A10C7F"/>
    <w:rsid w:val="00A32DBA"/>
    <w:rsid w:val="00A375BE"/>
    <w:rsid w:val="00A37961"/>
    <w:rsid w:val="00A44446"/>
    <w:rsid w:val="00A632F6"/>
    <w:rsid w:val="00A724F8"/>
    <w:rsid w:val="00A77505"/>
    <w:rsid w:val="00A84A26"/>
    <w:rsid w:val="00A86D4E"/>
    <w:rsid w:val="00AB2D53"/>
    <w:rsid w:val="00AB4409"/>
    <w:rsid w:val="00AB7312"/>
    <w:rsid w:val="00AC6FD8"/>
    <w:rsid w:val="00AD075B"/>
    <w:rsid w:val="00AD43AF"/>
    <w:rsid w:val="00AD5CC8"/>
    <w:rsid w:val="00AE3C9B"/>
    <w:rsid w:val="00AE51EB"/>
    <w:rsid w:val="00AF1D1F"/>
    <w:rsid w:val="00AF2D25"/>
    <w:rsid w:val="00AF79DF"/>
    <w:rsid w:val="00B01BCD"/>
    <w:rsid w:val="00B03DD0"/>
    <w:rsid w:val="00B07FAD"/>
    <w:rsid w:val="00B1402F"/>
    <w:rsid w:val="00B162AC"/>
    <w:rsid w:val="00B24152"/>
    <w:rsid w:val="00B43565"/>
    <w:rsid w:val="00B47BF6"/>
    <w:rsid w:val="00B559F5"/>
    <w:rsid w:val="00B565BB"/>
    <w:rsid w:val="00B839C6"/>
    <w:rsid w:val="00B8584C"/>
    <w:rsid w:val="00B86225"/>
    <w:rsid w:val="00BA1D0E"/>
    <w:rsid w:val="00BA63BA"/>
    <w:rsid w:val="00BB2344"/>
    <w:rsid w:val="00BD6D83"/>
    <w:rsid w:val="00BE1D1D"/>
    <w:rsid w:val="00BE69FE"/>
    <w:rsid w:val="00C03C14"/>
    <w:rsid w:val="00C157BE"/>
    <w:rsid w:val="00C22606"/>
    <w:rsid w:val="00C245C4"/>
    <w:rsid w:val="00C3450A"/>
    <w:rsid w:val="00C41B64"/>
    <w:rsid w:val="00C5056F"/>
    <w:rsid w:val="00C57989"/>
    <w:rsid w:val="00C637DF"/>
    <w:rsid w:val="00C65609"/>
    <w:rsid w:val="00C7135C"/>
    <w:rsid w:val="00C71DAB"/>
    <w:rsid w:val="00C74761"/>
    <w:rsid w:val="00C83A3D"/>
    <w:rsid w:val="00C84538"/>
    <w:rsid w:val="00CA4630"/>
    <w:rsid w:val="00CB5334"/>
    <w:rsid w:val="00CC1BAE"/>
    <w:rsid w:val="00CE1EF2"/>
    <w:rsid w:val="00CE33F9"/>
    <w:rsid w:val="00CF437A"/>
    <w:rsid w:val="00CF629B"/>
    <w:rsid w:val="00D17FA7"/>
    <w:rsid w:val="00D30B1A"/>
    <w:rsid w:val="00D36FE8"/>
    <w:rsid w:val="00D42C21"/>
    <w:rsid w:val="00D451C7"/>
    <w:rsid w:val="00D56934"/>
    <w:rsid w:val="00D83712"/>
    <w:rsid w:val="00D84B5A"/>
    <w:rsid w:val="00D95A10"/>
    <w:rsid w:val="00DA61B7"/>
    <w:rsid w:val="00DB08D4"/>
    <w:rsid w:val="00DB6285"/>
    <w:rsid w:val="00DC3D65"/>
    <w:rsid w:val="00DC3F0A"/>
    <w:rsid w:val="00DC7F1E"/>
    <w:rsid w:val="00DD4177"/>
    <w:rsid w:val="00DF4803"/>
    <w:rsid w:val="00E01985"/>
    <w:rsid w:val="00E14678"/>
    <w:rsid w:val="00E17F5F"/>
    <w:rsid w:val="00E26CEE"/>
    <w:rsid w:val="00E2703A"/>
    <w:rsid w:val="00E301AE"/>
    <w:rsid w:val="00E30D97"/>
    <w:rsid w:val="00E47357"/>
    <w:rsid w:val="00E52FDE"/>
    <w:rsid w:val="00E54759"/>
    <w:rsid w:val="00E55A00"/>
    <w:rsid w:val="00E72B26"/>
    <w:rsid w:val="00E72FC1"/>
    <w:rsid w:val="00E87BA3"/>
    <w:rsid w:val="00E943AC"/>
    <w:rsid w:val="00EA05B5"/>
    <w:rsid w:val="00EB4C60"/>
    <w:rsid w:val="00EB5318"/>
    <w:rsid w:val="00EB78F8"/>
    <w:rsid w:val="00ED12CD"/>
    <w:rsid w:val="00ED19EC"/>
    <w:rsid w:val="00ED20AF"/>
    <w:rsid w:val="00ED6AD8"/>
    <w:rsid w:val="00ED6B27"/>
    <w:rsid w:val="00EE0588"/>
    <w:rsid w:val="00F02920"/>
    <w:rsid w:val="00F1058B"/>
    <w:rsid w:val="00F11BF1"/>
    <w:rsid w:val="00F37E18"/>
    <w:rsid w:val="00F520DB"/>
    <w:rsid w:val="00F53D3E"/>
    <w:rsid w:val="00F618FE"/>
    <w:rsid w:val="00F63610"/>
    <w:rsid w:val="00F72AB4"/>
    <w:rsid w:val="00F73F4A"/>
    <w:rsid w:val="00F83F3C"/>
    <w:rsid w:val="00F86CC7"/>
    <w:rsid w:val="00F92D0C"/>
    <w:rsid w:val="00F96F69"/>
    <w:rsid w:val="00FA570D"/>
    <w:rsid w:val="00FA62AC"/>
    <w:rsid w:val="00FA63E7"/>
    <w:rsid w:val="00FC0DC1"/>
    <w:rsid w:val="00FD0A6E"/>
    <w:rsid w:val="00FD3832"/>
    <w:rsid w:val="00FD7A18"/>
    <w:rsid w:val="00FE4A8B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4882"/>
  <w15:chartTrackingRefBased/>
  <w15:docId w15:val="{E259BB4F-6EC1-470F-8607-1FA970C5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57"/>
  </w:style>
  <w:style w:type="paragraph" w:styleId="Heading1">
    <w:name w:val="heading 1"/>
    <w:basedOn w:val="Normal"/>
    <w:next w:val="Normal"/>
    <w:link w:val="Heading1Char"/>
    <w:uiPriority w:val="9"/>
    <w:qFormat/>
    <w:rsid w:val="002D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C57"/>
  </w:style>
  <w:style w:type="paragraph" w:styleId="Footer">
    <w:name w:val="footer"/>
    <w:basedOn w:val="Normal"/>
    <w:link w:val="FooterChar"/>
    <w:uiPriority w:val="99"/>
    <w:unhideWhenUsed/>
    <w:rsid w:val="002D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C57"/>
  </w:style>
  <w:style w:type="character" w:styleId="Hyperlink">
    <w:name w:val="Hyperlink"/>
    <w:basedOn w:val="DefaultParagraphFont"/>
    <w:uiPriority w:val="99"/>
    <w:unhideWhenUsed/>
    <w:rsid w:val="00A86D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9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791</Words>
  <Characters>4869</Characters>
  <Application>Microsoft Office Word</Application>
  <DocSecurity>0</DocSecurity>
  <Lines>71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Circo</dc:creator>
  <cp:keywords/>
  <dc:description/>
  <cp:lastModifiedBy>Carl Circo</cp:lastModifiedBy>
  <cp:revision>308</cp:revision>
  <dcterms:created xsi:type="dcterms:W3CDTF">2026-03-11T15:19:00Z</dcterms:created>
  <dcterms:modified xsi:type="dcterms:W3CDTF">2026-03-14T11:38:00Z</dcterms:modified>
</cp:coreProperties>
</file>