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C5BD" w14:textId="77777777" w:rsidR="005409B2" w:rsidRDefault="005409B2" w:rsidP="005409B2">
      <w:pPr>
        <w:rPr>
          <w:b/>
          <w:bCs/>
        </w:rPr>
      </w:pPr>
      <w:r>
        <w:rPr>
          <w:b/>
          <w:bCs/>
        </w:rPr>
        <w:t>Construction and Design Law: Managing the Network of Interdependent Relationships</w:t>
      </w:r>
    </w:p>
    <w:p w14:paraId="4914BEFF" w14:textId="77777777" w:rsidR="005409B2" w:rsidRDefault="005409B2" w:rsidP="005409B2">
      <w:pPr>
        <w:jc w:val="center"/>
      </w:pPr>
      <w:r>
        <w:t>Carl J. Circo</w:t>
      </w:r>
    </w:p>
    <w:p w14:paraId="3BF02696" w14:textId="77777777" w:rsidR="005409B2" w:rsidRDefault="005409B2" w:rsidP="005409B2">
      <w:pPr>
        <w:jc w:val="center"/>
        <w:rPr>
          <w:b/>
          <w:bCs/>
        </w:rPr>
      </w:pPr>
      <w:r>
        <w:rPr>
          <w:b/>
          <w:bCs/>
        </w:rPr>
        <w:t>Part 3</w:t>
      </w:r>
    </w:p>
    <w:p w14:paraId="549D7312" w14:textId="49AC4F16" w:rsidR="005409B2" w:rsidRPr="00F2305A" w:rsidRDefault="005409B2" w:rsidP="005409B2">
      <w:pPr>
        <w:keepNext/>
        <w:jc w:val="center"/>
        <w:rPr>
          <w:b/>
        </w:rPr>
      </w:pPr>
      <w:r w:rsidRPr="00F2305A">
        <w:rPr>
          <w:b/>
          <w:bCs/>
        </w:rPr>
        <w:t xml:space="preserve">Lesson </w:t>
      </w:r>
      <w:r>
        <w:rPr>
          <w:b/>
          <w:bCs/>
        </w:rPr>
        <w:t>1</w:t>
      </w:r>
      <w:r w:rsidRPr="00F2305A">
        <w:rPr>
          <w:b/>
          <w:bCs/>
        </w:rPr>
        <w:t xml:space="preserve">8: </w:t>
      </w:r>
      <w:r w:rsidRPr="00F2305A">
        <w:rPr>
          <w:b/>
        </w:rPr>
        <w:t>Contract Administration</w:t>
      </w:r>
    </w:p>
    <w:p w14:paraId="152AF02A" w14:textId="5123089B" w:rsidR="005409B2" w:rsidRDefault="005409B2" w:rsidP="005409B2">
      <w:pPr>
        <w:rPr>
          <w:bCs/>
        </w:rPr>
      </w:pPr>
      <w:r>
        <w:rPr>
          <w:bCs/>
        </w:rPr>
        <w:tab/>
        <w:t>Contract administration</w:t>
      </w:r>
      <w:r w:rsidR="00E81AD2">
        <w:rPr>
          <w:bCs/>
        </w:rPr>
        <w:t xml:space="preserve"> primarily</w:t>
      </w:r>
      <w:r>
        <w:rPr>
          <w:bCs/>
        </w:rPr>
        <w:t xml:space="preserve"> refers to activities undertaken during the construction process to track</w:t>
      </w:r>
      <w:r w:rsidR="00A50D96">
        <w:rPr>
          <w:bCs/>
        </w:rPr>
        <w:t>, manage,</w:t>
      </w:r>
      <w:r>
        <w:rPr>
          <w:bCs/>
        </w:rPr>
        <w:t xml:space="preserve"> and implement contractual process</w:t>
      </w:r>
      <w:r w:rsidR="00A50D96">
        <w:rPr>
          <w:bCs/>
        </w:rPr>
        <w:t>es</w:t>
      </w:r>
      <w:r>
        <w:rPr>
          <w:bCs/>
        </w:rPr>
        <w:t xml:space="preserve"> governing the project. The details and responsibilities involved vary depending on the project delivery system. In many traditional design-bid-build projects, the owner’s design professional provides most contract administration. In other delivery systems, a construction manager or another </w:t>
      </w:r>
      <w:proofErr w:type="gramStart"/>
      <w:r>
        <w:rPr>
          <w:bCs/>
        </w:rPr>
        <w:t>owner representative</w:t>
      </w:r>
      <w:proofErr w:type="gramEnd"/>
      <w:r>
        <w:rPr>
          <w:bCs/>
        </w:rPr>
        <w:t xml:space="preserve"> may manage much of the process, either alone or in conjunction with a design professional. In public projects, a contracting officer or another employee or agent may provide most contract administration. An integrated project delivery </w:t>
      </w:r>
      <w:r w:rsidR="00ED2988">
        <w:rPr>
          <w:bCs/>
        </w:rPr>
        <w:t>agreement</w:t>
      </w:r>
      <w:r>
        <w:rPr>
          <w:bCs/>
        </w:rPr>
        <w:t xml:space="preserve"> may assign </w:t>
      </w:r>
      <w:r w:rsidR="005601D0">
        <w:rPr>
          <w:bCs/>
        </w:rPr>
        <w:t>some contract administration</w:t>
      </w:r>
      <w:r>
        <w:rPr>
          <w:bCs/>
        </w:rPr>
        <w:t xml:space="preserve"> functions to </w:t>
      </w:r>
      <w:r w:rsidR="005601D0">
        <w:rPr>
          <w:bCs/>
        </w:rPr>
        <w:t xml:space="preserve">a </w:t>
      </w:r>
      <w:r>
        <w:rPr>
          <w:bCs/>
        </w:rPr>
        <w:t xml:space="preserve">management team. Highly experienced and sophisticated owners may manage contract administration internally, while other owners may rely primarily on the general contractor or design-builder for many of these </w:t>
      </w:r>
      <w:r w:rsidR="001E739A">
        <w:rPr>
          <w:bCs/>
        </w:rPr>
        <w:t>functions</w:t>
      </w:r>
      <w:r>
        <w:rPr>
          <w:bCs/>
        </w:rPr>
        <w:t>.</w:t>
      </w:r>
    </w:p>
    <w:p w14:paraId="2B4C261E" w14:textId="03D32D23" w:rsidR="005409B2" w:rsidRDefault="005409B2" w:rsidP="005409B2">
      <w:pPr>
        <w:rPr>
          <w:bCs/>
        </w:rPr>
      </w:pPr>
      <w:r>
        <w:rPr>
          <w:bCs/>
        </w:rPr>
        <w:tab/>
      </w:r>
      <w:r w:rsidR="00816F9D">
        <w:rPr>
          <w:bCs/>
        </w:rPr>
        <w:t>Even though I wrote the chapter</w:t>
      </w:r>
      <w:r w:rsidR="00C70A3A">
        <w:rPr>
          <w:bCs/>
        </w:rPr>
        <w:t xml:space="preserve"> covering contract administration</w:t>
      </w:r>
      <w:r w:rsidR="00816F9D">
        <w:rPr>
          <w:bCs/>
        </w:rPr>
        <w:t xml:space="preserve"> in the </w:t>
      </w:r>
      <w:r w:rsidR="00C70A3A">
        <w:rPr>
          <w:bCs/>
        </w:rPr>
        <w:t xml:space="preserve">Forum on Construction Law’s textbook, </w:t>
      </w:r>
      <w:r w:rsidR="00C70A3A">
        <w:rPr>
          <w:bCs/>
          <w:i/>
          <w:iCs/>
        </w:rPr>
        <w:t>Construction Law</w:t>
      </w:r>
      <w:r w:rsidR="00C70A3A">
        <w:rPr>
          <w:bCs/>
        </w:rPr>
        <w:t xml:space="preserve">, I have rarely devoted substantial class time to contract administration as a discrete topic for study. I prefer to cover contract administration in the context of other topics, such as </w:t>
      </w:r>
      <w:r w:rsidR="001649BD">
        <w:rPr>
          <w:bCs/>
        </w:rPr>
        <w:t xml:space="preserve">project delivery systems, payment </w:t>
      </w:r>
      <w:r w:rsidR="005934CB">
        <w:rPr>
          <w:bCs/>
        </w:rPr>
        <w:t>issues</w:t>
      </w:r>
      <w:r w:rsidR="001649BD">
        <w:rPr>
          <w:bCs/>
        </w:rPr>
        <w:t xml:space="preserve">, </w:t>
      </w:r>
      <w:r w:rsidR="00B775F7">
        <w:rPr>
          <w:bCs/>
        </w:rPr>
        <w:t xml:space="preserve">construction </w:t>
      </w:r>
      <w:proofErr w:type="gramStart"/>
      <w:r w:rsidR="00823B25">
        <w:rPr>
          <w:bCs/>
        </w:rPr>
        <w:t>liens</w:t>
      </w:r>
      <w:proofErr w:type="gramEnd"/>
      <w:r w:rsidR="00823B25">
        <w:rPr>
          <w:bCs/>
        </w:rPr>
        <w:t>, the</w:t>
      </w:r>
      <w:r w:rsidR="00E1431F">
        <w:rPr>
          <w:bCs/>
        </w:rPr>
        <w:t xml:space="preserve"> role</w:t>
      </w:r>
      <w:r w:rsidR="00420C5A">
        <w:rPr>
          <w:bCs/>
        </w:rPr>
        <w:t>s</w:t>
      </w:r>
      <w:r w:rsidR="009D4841">
        <w:rPr>
          <w:bCs/>
        </w:rPr>
        <w:t xml:space="preserve"> and </w:t>
      </w:r>
      <w:r w:rsidR="00913E8A">
        <w:rPr>
          <w:bCs/>
        </w:rPr>
        <w:t>responsibilities</w:t>
      </w:r>
      <w:r w:rsidR="00420C5A">
        <w:rPr>
          <w:bCs/>
        </w:rPr>
        <w:t xml:space="preserve"> </w:t>
      </w:r>
      <w:r w:rsidR="00E1431F">
        <w:rPr>
          <w:bCs/>
        </w:rPr>
        <w:t xml:space="preserve">of </w:t>
      </w:r>
      <w:r w:rsidR="00420C5A">
        <w:rPr>
          <w:bCs/>
        </w:rPr>
        <w:t>project participants, claims procedures, and dispute resolution.</w:t>
      </w:r>
      <w:r w:rsidR="00C70C1B">
        <w:rPr>
          <w:bCs/>
        </w:rPr>
        <w:t xml:space="preserve"> When I </w:t>
      </w:r>
      <w:r w:rsidR="007A4FC1">
        <w:rPr>
          <w:bCs/>
        </w:rPr>
        <w:t>cover</w:t>
      </w:r>
      <w:r w:rsidR="00C70C1B">
        <w:rPr>
          <w:bCs/>
        </w:rPr>
        <w:t xml:space="preserve"> contract administration separately, I </w:t>
      </w:r>
      <w:r w:rsidR="00B5505F">
        <w:rPr>
          <w:bCs/>
        </w:rPr>
        <w:t xml:space="preserve">start by reviewing the </w:t>
      </w:r>
      <w:r w:rsidR="008B4B41">
        <w:rPr>
          <w:bCs/>
        </w:rPr>
        <w:t xml:space="preserve">American Institute of Architects approach </w:t>
      </w:r>
      <w:r w:rsidR="002A64F7">
        <w:rPr>
          <w:bCs/>
        </w:rPr>
        <w:t xml:space="preserve">for </w:t>
      </w:r>
      <w:r w:rsidR="00E919BF">
        <w:rPr>
          <w:bCs/>
        </w:rPr>
        <w:t>a design-bid-build delivery system</w:t>
      </w:r>
      <w:r w:rsidR="002A64F7">
        <w:rPr>
          <w:bCs/>
        </w:rPr>
        <w:t xml:space="preserve">, largely via </w:t>
      </w:r>
      <w:r w:rsidR="00FC7941">
        <w:rPr>
          <w:bCs/>
        </w:rPr>
        <w:t>Section 3.6 of the owner-architect agreement (B101) and Sections</w:t>
      </w:r>
      <w:r w:rsidR="00400F2E">
        <w:rPr>
          <w:bCs/>
        </w:rPr>
        <w:t xml:space="preserve"> 4.2 and 15.2 of the General Conditions (A201)</w:t>
      </w:r>
      <w:r w:rsidR="002A64F7">
        <w:rPr>
          <w:bCs/>
        </w:rPr>
        <w:t>.</w:t>
      </w:r>
    </w:p>
    <w:p w14:paraId="749B58B4" w14:textId="0A112179" w:rsidR="00DC45F8" w:rsidRDefault="00DC45F8" w:rsidP="005409B2">
      <w:pPr>
        <w:rPr>
          <w:bCs/>
        </w:rPr>
      </w:pPr>
      <w:r>
        <w:rPr>
          <w:bCs/>
        </w:rPr>
        <w:tab/>
        <w:t xml:space="preserve">Under the AIA </w:t>
      </w:r>
      <w:r w:rsidR="00595EFA">
        <w:rPr>
          <w:bCs/>
        </w:rPr>
        <w:t>provisions</w:t>
      </w:r>
      <w:r w:rsidR="009E4008">
        <w:rPr>
          <w:bCs/>
        </w:rPr>
        <w:t xml:space="preserve">, the project architect </w:t>
      </w:r>
      <w:r w:rsidR="00FC2E54">
        <w:rPr>
          <w:bCs/>
        </w:rPr>
        <w:t xml:space="preserve">plays the central role. </w:t>
      </w:r>
      <w:r w:rsidR="002F4A81">
        <w:rPr>
          <w:bCs/>
        </w:rPr>
        <w:t>In that role, the architect functions in three</w:t>
      </w:r>
      <w:r w:rsidR="00AE0211">
        <w:rPr>
          <w:bCs/>
        </w:rPr>
        <w:t xml:space="preserve"> distinct capacities, at times serving as the owner’s agent (such </w:t>
      </w:r>
      <w:r w:rsidR="009739DF">
        <w:rPr>
          <w:bCs/>
        </w:rPr>
        <w:t xml:space="preserve">as </w:t>
      </w:r>
      <w:r w:rsidR="00AE0211">
        <w:rPr>
          <w:bCs/>
        </w:rPr>
        <w:t>approving</w:t>
      </w:r>
      <w:r w:rsidR="00E735F0">
        <w:rPr>
          <w:bCs/>
        </w:rPr>
        <w:t xml:space="preserve"> certain details on behalf of the owner), </w:t>
      </w:r>
      <w:r w:rsidR="006F4DDD">
        <w:rPr>
          <w:bCs/>
        </w:rPr>
        <w:t xml:space="preserve">or as the owner’s consultant (for example, in reviewing </w:t>
      </w:r>
      <w:r w:rsidR="006C3FE9">
        <w:rPr>
          <w:bCs/>
        </w:rPr>
        <w:t>and making recommendations to the owner in respons</w:t>
      </w:r>
      <w:r w:rsidR="005C23B3">
        <w:rPr>
          <w:bCs/>
        </w:rPr>
        <w:t>e</w:t>
      </w:r>
      <w:r w:rsidR="006C3FE9">
        <w:rPr>
          <w:bCs/>
        </w:rPr>
        <w:t xml:space="preserve"> to </w:t>
      </w:r>
      <w:r w:rsidR="006F4DDD">
        <w:rPr>
          <w:bCs/>
        </w:rPr>
        <w:t>contractor submissions</w:t>
      </w:r>
      <w:r w:rsidR="00B80204">
        <w:rPr>
          <w:bCs/>
        </w:rPr>
        <w:t>)</w:t>
      </w:r>
      <w:r w:rsidR="006C3FE9">
        <w:rPr>
          <w:bCs/>
        </w:rPr>
        <w:t>, or</w:t>
      </w:r>
      <w:r w:rsidR="00EF39EB">
        <w:rPr>
          <w:bCs/>
        </w:rPr>
        <w:t xml:space="preserve"> performing the role of</w:t>
      </w:r>
      <w:r w:rsidR="005C23B3">
        <w:rPr>
          <w:bCs/>
        </w:rPr>
        <w:t xml:space="preserve"> a neutral decisionmaker or referee</w:t>
      </w:r>
      <w:r w:rsidR="00E236FF">
        <w:rPr>
          <w:bCs/>
        </w:rPr>
        <w:t>, especially</w:t>
      </w:r>
      <w:r w:rsidR="005C23B3">
        <w:rPr>
          <w:bCs/>
        </w:rPr>
        <w:t xml:space="preserve"> with respect to claims and disputes.</w:t>
      </w:r>
      <w:r w:rsidR="001E4C08">
        <w:rPr>
          <w:bCs/>
        </w:rPr>
        <w:t xml:space="preserve"> Under alternative approaches, </w:t>
      </w:r>
      <w:r w:rsidR="00254381">
        <w:rPr>
          <w:bCs/>
        </w:rPr>
        <w:t>an employee</w:t>
      </w:r>
      <w:r w:rsidR="00053B59">
        <w:rPr>
          <w:bCs/>
        </w:rPr>
        <w:t xml:space="preserve"> of the owner</w:t>
      </w:r>
      <w:r w:rsidR="00254381">
        <w:rPr>
          <w:bCs/>
        </w:rPr>
        <w:t xml:space="preserve">, </w:t>
      </w:r>
      <w:r w:rsidR="00806F66">
        <w:rPr>
          <w:bCs/>
        </w:rPr>
        <w:t xml:space="preserve">a </w:t>
      </w:r>
      <w:r w:rsidR="00053B59">
        <w:rPr>
          <w:bCs/>
        </w:rPr>
        <w:t xml:space="preserve">construction manager, or an outside consultant may perform some of these functions, or the parties may </w:t>
      </w:r>
      <w:r w:rsidR="00C37340">
        <w:rPr>
          <w:bCs/>
        </w:rPr>
        <w:t>delegate certain responsibilities to</w:t>
      </w:r>
      <w:r w:rsidR="00C826D5">
        <w:rPr>
          <w:bCs/>
        </w:rPr>
        <w:t xml:space="preserve"> independent</w:t>
      </w:r>
      <w:r w:rsidR="00C37340">
        <w:rPr>
          <w:bCs/>
        </w:rPr>
        <w:t xml:space="preserve"> third parties, such as a dispute resolution board.</w:t>
      </w:r>
    </w:p>
    <w:p w14:paraId="40FFCD68" w14:textId="03EB36F7" w:rsidR="005F6D05" w:rsidRDefault="005F6D05" w:rsidP="005409B2">
      <w:pPr>
        <w:rPr>
          <w:bCs/>
        </w:rPr>
      </w:pPr>
      <w:r>
        <w:rPr>
          <w:bCs/>
        </w:rPr>
        <w:tab/>
      </w:r>
      <w:r w:rsidR="00363194">
        <w:rPr>
          <w:bCs/>
        </w:rPr>
        <w:t>Contract administration</w:t>
      </w:r>
      <w:r w:rsidR="00355FDE">
        <w:rPr>
          <w:bCs/>
        </w:rPr>
        <w:t xml:space="preserve"> </w:t>
      </w:r>
      <w:r w:rsidR="00752B7E">
        <w:rPr>
          <w:bCs/>
        </w:rPr>
        <w:t xml:space="preserve">may encompass </w:t>
      </w:r>
      <w:r w:rsidR="00DA780B">
        <w:rPr>
          <w:bCs/>
        </w:rPr>
        <w:t>a range of responsibilities and objectives.</w:t>
      </w:r>
      <w:r w:rsidR="003F504C">
        <w:rPr>
          <w:bCs/>
        </w:rPr>
        <w:t xml:space="preserve"> </w:t>
      </w:r>
      <w:r w:rsidR="003F504C">
        <w:t xml:space="preserve">The following summary draws primarily from Carl J. Circo, </w:t>
      </w:r>
      <w:r w:rsidR="003F504C">
        <w:rPr>
          <w:i/>
          <w:iCs/>
        </w:rPr>
        <w:t xml:space="preserve">Architect’s Contract Administration, in </w:t>
      </w:r>
      <w:r w:rsidR="003F504C" w:rsidRPr="002A78B2">
        <w:rPr>
          <w:i/>
          <w:iCs/>
        </w:rPr>
        <w:t>Construction Law</w:t>
      </w:r>
      <w:r w:rsidR="003F504C">
        <w:t xml:space="preserve"> (2d ed. Carol J. Patterson et al., eds, (2019), at 197.</w:t>
      </w:r>
      <w:r w:rsidR="00F63746">
        <w:t xml:space="preserve"> </w:t>
      </w:r>
      <w:r w:rsidR="00CF58BA">
        <w:rPr>
          <w:i/>
          <w:iCs/>
        </w:rPr>
        <w:t xml:space="preserve">See also </w:t>
      </w:r>
      <w:r w:rsidR="002A690F">
        <w:t xml:space="preserve">Phillip L. Bruner &amp; Patrick J. O’Connor, Jr., </w:t>
      </w:r>
      <w:r w:rsidR="003F7F03">
        <w:t xml:space="preserve">6 </w:t>
      </w:r>
      <w:r w:rsidR="002A690F" w:rsidRPr="001511CC">
        <w:rPr>
          <w:i/>
          <w:iCs/>
        </w:rPr>
        <w:t>Bruner &amp; O’Connor on Construction Law</w:t>
      </w:r>
      <w:r w:rsidR="002A690F">
        <w:t>, §§ 1</w:t>
      </w:r>
      <w:r w:rsidR="003F7F03">
        <w:t>7</w:t>
      </w:r>
      <w:r w:rsidR="002A690F">
        <w:t>:</w:t>
      </w:r>
      <w:r w:rsidR="003F7F03">
        <w:t>4</w:t>
      </w:r>
      <w:r w:rsidR="002A690F">
        <w:t>-1</w:t>
      </w:r>
      <w:r w:rsidR="003F7F03">
        <w:t>7</w:t>
      </w:r>
      <w:r w:rsidR="002A690F">
        <w:t>:</w:t>
      </w:r>
      <w:r w:rsidR="003F7F03">
        <w:t>9</w:t>
      </w:r>
      <w:r w:rsidR="002A690F">
        <w:t xml:space="preserve"> (Westlaw </w:t>
      </w:r>
      <w:r w:rsidR="003F7F03">
        <w:t>Jan</w:t>
      </w:r>
      <w:r w:rsidR="002A690F">
        <w:t>. 202</w:t>
      </w:r>
      <w:r w:rsidR="003F7F03">
        <w:t>6</w:t>
      </w:r>
      <w:r w:rsidR="00CF58BA">
        <w:t>)</w:t>
      </w:r>
      <w:r w:rsidR="002A690F">
        <w:t>.</w:t>
      </w:r>
    </w:p>
    <w:p w14:paraId="5586EB77" w14:textId="13D2E106" w:rsidR="00DA780B" w:rsidRDefault="00DA780B" w:rsidP="00DA780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lastRenderedPageBreak/>
        <w:t>Quality control</w:t>
      </w:r>
      <w:r w:rsidR="00CF273F">
        <w:rPr>
          <w:bCs/>
        </w:rPr>
        <w:t>:</w:t>
      </w:r>
      <w:r w:rsidR="00EF7518">
        <w:rPr>
          <w:bCs/>
        </w:rPr>
        <w:t xml:space="preserve"> Key responsibilities may involve reviewing</w:t>
      </w:r>
      <w:r w:rsidR="00A515A8">
        <w:rPr>
          <w:bCs/>
        </w:rPr>
        <w:t xml:space="preserve"> submissions</w:t>
      </w:r>
      <w:r w:rsidR="00904C37">
        <w:rPr>
          <w:bCs/>
        </w:rPr>
        <w:t xml:space="preserve"> by the contractor and other participants</w:t>
      </w:r>
      <w:r w:rsidR="004E48C9">
        <w:rPr>
          <w:bCs/>
        </w:rPr>
        <w:t xml:space="preserve"> (such as shop drawings and proposed substitutions)</w:t>
      </w:r>
      <w:r w:rsidR="007A02D6">
        <w:rPr>
          <w:bCs/>
        </w:rPr>
        <w:t xml:space="preserve">, </w:t>
      </w:r>
      <w:r w:rsidR="00A515A8">
        <w:rPr>
          <w:bCs/>
        </w:rPr>
        <w:t>responding to requests for information</w:t>
      </w:r>
      <w:r w:rsidR="007A02D6">
        <w:rPr>
          <w:bCs/>
        </w:rPr>
        <w:t>,</w:t>
      </w:r>
      <w:r w:rsidR="0031701E">
        <w:rPr>
          <w:bCs/>
        </w:rPr>
        <w:t xml:space="preserve"> and </w:t>
      </w:r>
      <w:r w:rsidR="00F67E66">
        <w:rPr>
          <w:bCs/>
        </w:rPr>
        <w:t>issuing approvals on the owner’s behalf</w:t>
      </w:r>
      <w:r w:rsidR="00904C37">
        <w:rPr>
          <w:bCs/>
        </w:rPr>
        <w:t>.</w:t>
      </w:r>
      <w:r w:rsidR="00ED5869">
        <w:rPr>
          <w:bCs/>
        </w:rPr>
        <w:t xml:space="preserve"> Quality control also commonly </w:t>
      </w:r>
      <w:r w:rsidR="00F70D80">
        <w:rPr>
          <w:bCs/>
        </w:rPr>
        <w:t>requires</w:t>
      </w:r>
      <w:r w:rsidR="00D054E4">
        <w:rPr>
          <w:bCs/>
        </w:rPr>
        <w:t xml:space="preserve"> </w:t>
      </w:r>
      <w:r w:rsidR="004C46E2">
        <w:rPr>
          <w:bCs/>
        </w:rPr>
        <w:t>i</w:t>
      </w:r>
      <w:r w:rsidR="00D054E4">
        <w:rPr>
          <w:bCs/>
        </w:rPr>
        <w:t>nspections and reports on the progress of the work</w:t>
      </w:r>
      <w:r w:rsidR="003B1888">
        <w:rPr>
          <w:bCs/>
        </w:rPr>
        <w:t xml:space="preserve"> and compliance with plans, specifications, and provisions of other contract </w:t>
      </w:r>
      <w:r w:rsidR="00396135">
        <w:rPr>
          <w:bCs/>
        </w:rPr>
        <w:t>documents.</w:t>
      </w:r>
    </w:p>
    <w:p w14:paraId="09327C41" w14:textId="6FEBC6A5" w:rsidR="00C53EFC" w:rsidRDefault="00C53EFC" w:rsidP="00DA780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Coordination</w:t>
      </w:r>
      <w:r w:rsidR="00B1641C">
        <w:rPr>
          <w:bCs/>
        </w:rPr>
        <w:t xml:space="preserve">: </w:t>
      </w:r>
      <w:r w:rsidR="00605AC5">
        <w:rPr>
          <w:bCs/>
        </w:rPr>
        <w:t xml:space="preserve">Depending on the project delivery system, responsibility for coordinating the </w:t>
      </w:r>
      <w:r w:rsidR="00202882">
        <w:rPr>
          <w:bCs/>
        </w:rPr>
        <w:t>activities of project participants may fall primarily on a general contractor</w:t>
      </w:r>
      <w:r w:rsidR="00224F99">
        <w:rPr>
          <w:bCs/>
        </w:rPr>
        <w:t>, construction manager,</w:t>
      </w:r>
      <w:r w:rsidR="00B14028">
        <w:rPr>
          <w:bCs/>
        </w:rPr>
        <w:t xml:space="preserve"> or</w:t>
      </w:r>
      <w:r w:rsidR="00224F99">
        <w:rPr>
          <w:bCs/>
        </w:rPr>
        <w:t xml:space="preserve"> </w:t>
      </w:r>
      <w:r w:rsidR="00E529CD">
        <w:rPr>
          <w:bCs/>
        </w:rPr>
        <w:t>the owner’s project manager or contracting officer</w:t>
      </w:r>
      <w:r w:rsidR="0092501B">
        <w:rPr>
          <w:bCs/>
        </w:rPr>
        <w:t>, with</w:t>
      </w:r>
      <w:r w:rsidR="00B14028">
        <w:rPr>
          <w:bCs/>
        </w:rPr>
        <w:t xml:space="preserve"> </w:t>
      </w:r>
      <w:r w:rsidR="00DD5093">
        <w:rPr>
          <w:bCs/>
        </w:rPr>
        <w:t xml:space="preserve">ongoing review by </w:t>
      </w:r>
      <w:r w:rsidR="00B14028">
        <w:rPr>
          <w:bCs/>
        </w:rPr>
        <w:t>the</w:t>
      </w:r>
      <w:r w:rsidR="0092501B">
        <w:rPr>
          <w:bCs/>
        </w:rPr>
        <w:t xml:space="preserve"> project design professional or other consultant retained by the owner</w:t>
      </w:r>
      <w:r w:rsidR="00DD5093">
        <w:rPr>
          <w:bCs/>
        </w:rPr>
        <w:t xml:space="preserve">. </w:t>
      </w:r>
      <w:r w:rsidR="00324A5B">
        <w:rPr>
          <w:bCs/>
        </w:rPr>
        <w:t>Coordination typically contemplates</w:t>
      </w:r>
      <w:r w:rsidR="00E37B9B">
        <w:rPr>
          <w:bCs/>
        </w:rPr>
        <w:t xml:space="preserve"> periodic</w:t>
      </w:r>
      <w:r w:rsidR="00DD5093">
        <w:rPr>
          <w:bCs/>
        </w:rPr>
        <w:t xml:space="preserve"> onsite meetings among the </w:t>
      </w:r>
      <w:r w:rsidR="001E1FE0">
        <w:rPr>
          <w:bCs/>
        </w:rPr>
        <w:t>core participants</w:t>
      </w:r>
      <w:r w:rsidR="00130AE3">
        <w:rPr>
          <w:bCs/>
        </w:rPr>
        <w:t xml:space="preserve"> and regular reports</w:t>
      </w:r>
      <w:r w:rsidR="00F977C7">
        <w:rPr>
          <w:bCs/>
        </w:rPr>
        <w:t>.</w:t>
      </w:r>
    </w:p>
    <w:p w14:paraId="0506D7ED" w14:textId="163A3A93" w:rsidR="00C53EFC" w:rsidRDefault="00C53EFC" w:rsidP="00DA780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Approval of progress payments</w:t>
      </w:r>
      <w:r w:rsidR="00E37B9B">
        <w:rPr>
          <w:bCs/>
        </w:rPr>
        <w:t xml:space="preserve">: </w:t>
      </w:r>
      <w:r w:rsidR="00421248">
        <w:rPr>
          <w:bCs/>
        </w:rPr>
        <w:t xml:space="preserve">Unless the owner has </w:t>
      </w:r>
      <w:r w:rsidR="00FA2658">
        <w:rPr>
          <w:bCs/>
        </w:rPr>
        <w:t>in-house</w:t>
      </w:r>
      <w:r w:rsidR="00421248">
        <w:rPr>
          <w:bCs/>
        </w:rPr>
        <w:t xml:space="preserve"> construction management expertise, </w:t>
      </w:r>
      <w:r w:rsidR="00742C9E">
        <w:rPr>
          <w:bCs/>
        </w:rPr>
        <w:t xml:space="preserve">applications for progress payments will usually be submitted to </w:t>
      </w:r>
      <w:r w:rsidR="00421248">
        <w:rPr>
          <w:bCs/>
        </w:rPr>
        <w:t>the project design professional or another consultant</w:t>
      </w:r>
      <w:r w:rsidR="000038D9">
        <w:rPr>
          <w:bCs/>
        </w:rPr>
        <w:t xml:space="preserve">, who will make recommendations to the owner or will have authority to </w:t>
      </w:r>
      <w:r w:rsidR="00EF1EE7">
        <w:rPr>
          <w:bCs/>
        </w:rPr>
        <w:t>make decisions about progress payments</w:t>
      </w:r>
      <w:r w:rsidR="00144FC3">
        <w:rPr>
          <w:bCs/>
        </w:rPr>
        <w:t xml:space="preserve"> on the owner’s behalf.</w:t>
      </w:r>
    </w:p>
    <w:p w14:paraId="3F091777" w14:textId="0AE1A352" w:rsidR="00C53EFC" w:rsidRDefault="00144FC3" w:rsidP="00DA780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Periodic inspections and the</w:t>
      </w:r>
      <w:r w:rsidR="00DB735E">
        <w:rPr>
          <w:bCs/>
        </w:rPr>
        <w:t xml:space="preserve"> right to reject work or to stop work</w:t>
      </w:r>
      <w:r>
        <w:rPr>
          <w:bCs/>
        </w:rPr>
        <w:t xml:space="preserve">: </w:t>
      </w:r>
      <w:r w:rsidR="003B4CB5">
        <w:rPr>
          <w:bCs/>
        </w:rPr>
        <w:t>While some</w:t>
      </w:r>
      <w:r w:rsidR="00FA2658">
        <w:rPr>
          <w:bCs/>
        </w:rPr>
        <w:t xml:space="preserve"> owners will conduct inspections and make these decisions</w:t>
      </w:r>
      <w:r w:rsidR="0087032F">
        <w:rPr>
          <w:bCs/>
        </w:rPr>
        <w:t xml:space="preserve"> on their own, </w:t>
      </w:r>
      <w:r w:rsidR="00352FA1">
        <w:rPr>
          <w:bCs/>
        </w:rPr>
        <w:t>commonly the project design professional or other third-party representative</w:t>
      </w:r>
      <w:r w:rsidR="00147E59">
        <w:rPr>
          <w:bCs/>
        </w:rPr>
        <w:t xml:space="preserve"> fulfills these roles</w:t>
      </w:r>
      <w:r w:rsidR="00EA63B7">
        <w:rPr>
          <w:bCs/>
        </w:rPr>
        <w:t xml:space="preserve"> for the owner.</w:t>
      </w:r>
    </w:p>
    <w:p w14:paraId="508E6D31" w14:textId="04D9744B" w:rsidR="00FE0D40" w:rsidRDefault="00FE0D40" w:rsidP="00DA780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Issuing change orders and responding to proposals and change order requests</w:t>
      </w:r>
      <w:r w:rsidR="00EB6B0D">
        <w:rPr>
          <w:bCs/>
        </w:rPr>
        <w:t xml:space="preserve">: </w:t>
      </w:r>
      <w:r w:rsidR="00AE2FDB">
        <w:rPr>
          <w:bCs/>
        </w:rPr>
        <w:t xml:space="preserve">construction contracts routinely </w:t>
      </w:r>
      <w:r w:rsidR="00B428B1">
        <w:rPr>
          <w:bCs/>
        </w:rPr>
        <w:t>establish detailed provisions governing changes in the work</w:t>
      </w:r>
      <w:r w:rsidR="003E469C">
        <w:rPr>
          <w:bCs/>
        </w:rPr>
        <w:t>. Again, the project design professional</w:t>
      </w:r>
      <w:r w:rsidR="00367A05">
        <w:rPr>
          <w:bCs/>
        </w:rPr>
        <w:t xml:space="preserve"> or other owner representative often </w:t>
      </w:r>
      <w:r w:rsidR="00F61448">
        <w:rPr>
          <w:bCs/>
        </w:rPr>
        <w:t xml:space="preserve">plays a key role in preparing or approving </w:t>
      </w:r>
      <w:r w:rsidR="00E31A79">
        <w:rPr>
          <w:bCs/>
        </w:rPr>
        <w:t xml:space="preserve">the details, including determining or overseeing the process that determines any </w:t>
      </w:r>
      <w:r w:rsidR="006C6806">
        <w:rPr>
          <w:bCs/>
        </w:rPr>
        <w:t>modifications to the project schedule or pricing</w:t>
      </w:r>
      <w:r w:rsidR="003F6E14">
        <w:rPr>
          <w:bCs/>
        </w:rPr>
        <w:t xml:space="preserve"> resulting from changes.</w:t>
      </w:r>
    </w:p>
    <w:p w14:paraId="3E19C040" w14:textId="421D3471" w:rsidR="00FE0D40" w:rsidRDefault="005D1619" w:rsidP="00DA780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Certification of substantial completion, final completion, and other performance</w:t>
      </w:r>
      <w:r w:rsidR="009575CF">
        <w:rPr>
          <w:bCs/>
        </w:rPr>
        <w:t xml:space="preserve">: The close out process at the conclusion of the project </w:t>
      </w:r>
      <w:r w:rsidR="002812F3">
        <w:rPr>
          <w:bCs/>
        </w:rPr>
        <w:t xml:space="preserve">often </w:t>
      </w:r>
      <w:r w:rsidR="004D2DC2">
        <w:rPr>
          <w:bCs/>
        </w:rPr>
        <w:t>requires the project design professional or other representative of</w:t>
      </w:r>
      <w:r w:rsidR="00D563DF">
        <w:rPr>
          <w:bCs/>
        </w:rPr>
        <w:t>,</w:t>
      </w:r>
      <w:r w:rsidR="004D2DC2">
        <w:rPr>
          <w:bCs/>
        </w:rPr>
        <w:t xml:space="preserve"> or consultant to</w:t>
      </w:r>
      <w:r w:rsidR="00D563DF">
        <w:rPr>
          <w:bCs/>
        </w:rPr>
        <w:t>,</w:t>
      </w:r>
      <w:r w:rsidR="004D2DC2">
        <w:rPr>
          <w:bCs/>
        </w:rPr>
        <w:t xml:space="preserve"> the owner</w:t>
      </w:r>
      <w:r w:rsidR="00CB7EC6">
        <w:rPr>
          <w:bCs/>
        </w:rPr>
        <w:t xml:space="preserve"> to certify completion, </w:t>
      </w:r>
      <w:r w:rsidR="001D7D27">
        <w:rPr>
          <w:bCs/>
        </w:rPr>
        <w:t>approve</w:t>
      </w:r>
      <w:r w:rsidR="00F9212F">
        <w:rPr>
          <w:bCs/>
        </w:rPr>
        <w:t xml:space="preserve"> final payment, </w:t>
      </w:r>
      <w:r w:rsidR="00167972">
        <w:rPr>
          <w:bCs/>
        </w:rPr>
        <w:t>oversee</w:t>
      </w:r>
      <w:r w:rsidR="00950E6B">
        <w:rPr>
          <w:bCs/>
        </w:rPr>
        <w:t xml:space="preserve"> a commissioning or start up process, </w:t>
      </w:r>
      <w:r w:rsidR="00167972">
        <w:rPr>
          <w:bCs/>
        </w:rPr>
        <w:t>secur</w:t>
      </w:r>
      <w:r w:rsidR="00950E6B">
        <w:rPr>
          <w:bCs/>
        </w:rPr>
        <w:t>e</w:t>
      </w:r>
      <w:r w:rsidR="00167972">
        <w:rPr>
          <w:bCs/>
        </w:rPr>
        <w:t xml:space="preserve"> documentation relating to warranties</w:t>
      </w:r>
      <w:r w:rsidR="00950E6B">
        <w:rPr>
          <w:bCs/>
        </w:rPr>
        <w:t xml:space="preserve">, and otherwise assist in </w:t>
      </w:r>
      <w:r w:rsidR="00423002">
        <w:rPr>
          <w:bCs/>
        </w:rPr>
        <w:t>the</w:t>
      </w:r>
      <w:r w:rsidR="00195573">
        <w:rPr>
          <w:bCs/>
        </w:rPr>
        <w:t xml:space="preserve"> transfer of the project to the owner.</w:t>
      </w:r>
    </w:p>
    <w:p w14:paraId="3B2E45C0" w14:textId="5D1EE895" w:rsidR="005D1619" w:rsidRPr="00D85CAB" w:rsidRDefault="005D1619" w:rsidP="00D85CA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Managing the claims process</w:t>
      </w:r>
      <w:r w:rsidR="00195573">
        <w:rPr>
          <w:bCs/>
        </w:rPr>
        <w:t xml:space="preserve">: </w:t>
      </w:r>
      <w:r w:rsidR="003B690F">
        <w:rPr>
          <w:bCs/>
        </w:rPr>
        <w:t xml:space="preserve">The </w:t>
      </w:r>
      <w:r w:rsidR="009F4867">
        <w:rPr>
          <w:bCs/>
        </w:rPr>
        <w:t>contractual</w:t>
      </w:r>
      <w:r w:rsidR="00D85CAB">
        <w:rPr>
          <w:bCs/>
        </w:rPr>
        <w:t xml:space="preserve"> </w:t>
      </w:r>
      <w:r w:rsidR="007A4E95" w:rsidRPr="00D85CAB">
        <w:rPr>
          <w:bCs/>
        </w:rPr>
        <w:t>claims</w:t>
      </w:r>
      <w:r w:rsidR="001C78F9" w:rsidRPr="00D85CAB">
        <w:rPr>
          <w:bCs/>
        </w:rPr>
        <w:t xml:space="preserve"> and dispute resolution</w:t>
      </w:r>
      <w:r w:rsidR="007A4E95" w:rsidRPr="00D85CAB">
        <w:rPr>
          <w:bCs/>
        </w:rPr>
        <w:t xml:space="preserve"> process may assign to the </w:t>
      </w:r>
      <w:r w:rsidR="003B690F" w:rsidRPr="00D85CAB">
        <w:rPr>
          <w:bCs/>
        </w:rPr>
        <w:t>project design professional or another representative of</w:t>
      </w:r>
      <w:r w:rsidR="00371D08" w:rsidRPr="00D85CAB">
        <w:rPr>
          <w:bCs/>
        </w:rPr>
        <w:t>,</w:t>
      </w:r>
      <w:r w:rsidR="003B690F" w:rsidRPr="00D85CAB">
        <w:rPr>
          <w:bCs/>
        </w:rPr>
        <w:t xml:space="preserve"> or consultant to</w:t>
      </w:r>
      <w:r w:rsidR="00371D08" w:rsidRPr="00D85CAB">
        <w:rPr>
          <w:bCs/>
        </w:rPr>
        <w:t>,</w:t>
      </w:r>
      <w:r w:rsidR="003B690F" w:rsidRPr="00D85CAB">
        <w:rPr>
          <w:bCs/>
        </w:rPr>
        <w:t xml:space="preserve"> the owner </w:t>
      </w:r>
      <w:r w:rsidR="007A4E95" w:rsidRPr="00D85CAB">
        <w:rPr>
          <w:bCs/>
        </w:rPr>
        <w:t>a central role in receiving</w:t>
      </w:r>
      <w:r w:rsidR="004E4FA1" w:rsidRPr="00D85CAB">
        <w:rPr>
          <w:bCs/>
        </w:rPr>
        <w:t xml:space="preserve"> and reviewing claims and making recommendations or decisions</w:t>
      </w:r>
      <w:r w:rsidR="00852F9E" w:rsidRPr="00D85CAB">
        <w:rPr>
          <w:bCs/>
        </w:rPr>
        <w:t xml:space="preserve">. </w:t>
      </w:r>
    </w:p>
    <w:p w14:paraId="0F0CD77C" w14:textId="779FC442" w:rsidR="00686F86" w:rsidRPr="00DA3320" w:rsidRDefault="008B350F">
      <w:pPr>
        <w:rPr>
          <w:bCs/>
          <w:u w:val="single"/>
        </w:rPr>
      </w:pPr>
      <w:r>
        <w:rPr>
          <w:bCs/>
        </w:rPr>
        <w:lastRenderedPageBreak/>
        <w:tab/>
      </w:r>
      <w:r w:rsidR="001D45DA">
        <w:rPr>
          <w:bCs/>
        </w:rPr>
        <w:t xml:space="preserve">Significant </w:t>
      </w:r>
      <w:r w:rsidR="00082DDF">
        <w:rPr>
          <w:bCs/>
        </w:rPr>
        <w:t>questions</w:t>
      </w:r>
      <w:r w:rsidR="00D6319F">
        <w:rPr>
          <w:bCs/>
        </w:rPr>
        <w:t xml:space="preserve"> </w:t>
      </w:r>
      <w:r w:rsidR="00B8613F">
        <w:rPr>
          <w:bCs/>
        </w:rPr>
        <w:t>of legal authority and potential liability</w:t>
      </w:r>
      <w:r w:rsidR="001D45DA">
        <w:rPr>
          <w:bCs/>
        </w:rPr>
        <w:t xml:space="preserve"> may arise when</w:t>
      </w:r>
      <w:r w:rsidR="005C3B84" w:rsidRPr="005C3B84">
        <w:rPr>
          <w:bCs/>
        </w:rPr>
        <w:t xml:space="preserve"> </w:t>
      </w:r>
      <w:r w:rsidR="005C3B84">
        <w:rPr>
          <w:bCs/>
        </w:rPr>
        <w:t>a project design professional or other consultant</w:t>
      </w:r>
      <w:r w:rsidR="00F4176C">
        <w:rPr>
          <w:bCs/>
        </w:rPr>
        <w:t xml:space="preserve"> retained by a project participant</w:t>
      </w:r>
      <w:r w:rsidR="005C3B84">
        <w:rPr>
          <w:bCs/>
        </w:rPr>
        <w:t xml:space="preserve"> manages contract administration. </w:t>
      </w:r>
      <w:r w:rsidR="003267F9">
        <w:rPr>
          <w:bCs/>
        </w:rPr>
        <w:t xml:space="preserve">Under agency law principles, </w:t>
      </w:r>
      <w:r w:rsidR="00DA04D8">
        <w:rPr>
          <w:bCs/>
        </w:rPr>
        <w:t xml:space="preserve">actions and decisions </w:t>
      </w:r>
      <w:r w:rsidR="00826C29">
        <w:rPr>
          <w:bCs/>
        </w:rPr>
        <w:t>made by the owner’s agent may bind the owner and impose liability</w:t>
      </w:r>
      <w:r w:rsidR="00BE0FCA">
        <w:rPr>
          <w:bCs/>
        </w:rPr>
        <w:t xml:space="preserve"> on the owner for the agent’s wrongful actions. Similarly, </w:t>
      </w:r>
      <w:r w:rsidR="0001208E">
        <w:rPr>
          <w:bCs/>
        </w:rPr>
        <w:t>an</w:t>
      </w:r>
      <w:r w:rsidR="00BE0FCA">
        <w:rPr>
          <w:bCs/>
        </w:rPr>
        <w:t xml:space="preserve"> agent may incur</w:t>
      </w:r>
      <w:r w:rsidR="0001208E">
        <w:rPr>
          <w:bCs/>
        </w:rPr>
        <w:t xml:space="preserve"> liability for wrongful</w:t>
      </w:r>
      <w:r w:rsidR="0051435A">
        <w:rPr>
          <w:bCs/>
        </w:rPr>
        <w:t xml:space="preserve"> actions taken in a representative capacity. </w:t>
      </w:r>
      <w:r w:rsidR="00BA73DF">
        <w:rPr>
          <w:bCs/>
        </w:rPr>
        <w:t xml:space="preserve">For example, </w:t>
      </w:r>
      <w:r w:rsidR="009F7C58">
        <w:rPr>
          <w:bCs/>
        </w:rPr>
        <w:t xml:space="preserve">when </w:t>
      </w:r>
      <w:r w:rsidR="00BA73DF">
        <w:rPr>
          <w:bCs/>
        </w:rPr>
        <w:t>a project design professional recommends</w:t>
      </w:r>
      <w:r w:rsidR="009225E1">
        <w:rPr>
          <w:bCs/>
        </w:rPr>
        <w:t xml:space="preserve"> </w:t>
      </w:r>
      <w:r w:rsidR="00EB6939">
        <w:rPr>
          <w:bCs/>
        </w:rPr>
        <w:t>or approves</w:t>
      </w:r>
      <w:r w:rsidR="009225E1">
        <w:rPr>
          <w:bCs/>
        </w:rPr>
        <w:t xml:space="preserve"> an owner</w:t>
      </w:r>
      <w:r w:rsidR="00EB6939">
        <w:rPr>
          <w:bCs/>
        </w:rPr>
        <w:t>’s decision to</w:t>
      </w:r>
      <w:r w:rsidR="00BA73DF">
        <w:rPr>
          <w:bCs/>
        </w:rPr>
        <w:t xml:space="preserve"> terminat</w:t>
      </w:r>
      <w:r w:rsidR="00546EFD">
        <w:rPr>
          <w:bCs/>
        </w:rPr>
        <w:t>e</w:t>
      </w:r>
      <w:r w:rsidR="00BA73DF">
        <w:rPr>
          <w:bCs/>
        </w:rPr>
        <w:t xml:space="preserve"> a</w:t>
      </w:r>
      <w:r w:rsidR="009F7C58">
        <w:rPr>
          <w:bCs/>
        </w:rPr>
        <w:t xml:space="preserve"> contract</w:t>
      </w:r>
      <w:r w:rsidR="00546EFD">
        <w:rPr>
          <w:bCs/>
        </w:rPr>
        <w:t>or</w:t>
      </w:r>
      <w:r w:rsidR="009F7C58">
        <w:rPr>
          <w:bCs/>
        </w:rPr>
        <w:t xml:space="preserve"> for cause, the terminated </w:t>
      </w:r>
      <w:r w:rsidR="001A0A79">
        <w:rPr>
          <w:bCs/>
        </w:rPr>
        <w:t xml:space="preserve">participant may sue for tortious interference with contractual relations. Under </w:t>
      </w:r>
      <w:r w:rsidR="00BC3C88">
        <w:rPr>
          <w:bCs/>
        </w:rPr>
        <w:t xml:space="preserve">provisions that clearly establish that the design professional’s contractual </w:t>
      </w:r>
      <w:r w:rsidR="00761A3B">
        <w:rPr>
          <w:bCs/>
        </w:rPr>
        <w:t>decision-making authority is as a third-party neutral, the cases recognize a broad but not absolute immunity for decisions ma</w:t>
      </w:r>
      <w:r w:rsidR="008A6145">
        <w:rPr>
          <w:bCs/>
        </w:rPr>
        <w:t>d</w:t>
      </w:r>
      <w:r w:rsidR="00761A3B">
        <w:rPr>
          <w:bCs/>
        </w:rPr>
        <w:t>e in good faith.</w:t>
      </w:r>
      <w:r w:rsidR="00C212AF">
        <w:rPr>
          <w:bCs/>
        </w:rPr>
        <w:t xml:space="preserve"> </w:t>
      </w:r>
      <w:r w:rsidR="00C212AF">
        <w:rPr>
          <w:bCs/>
          <w:i/>
          <w:iCs/>
        </w:rPr>
        <w:t xml:space="preserve">Compare </w:t>
      </w:r>
      <w:r w:rsidR="00144EB1">
        <w:rPr>
          <w:bCs/>
          <w:i/>
          <w:iCs/>
        </w:rPr>
        <w:t xml:space="preserve">DiMaria Constr., Inc. v. </w:t>
      </w:r>
      <w:proofErr w:type="spellStart"/>
      <w:r w:rsidR="00144EB1">
        <w:rPr>
          <w:bCs/>
          <w:i/>
          <w:iCs/>
        </w:rPr>
        <w:t>Interarch</w:t>
      </w:r>
      <w:proofErr w:type="spellEnd"/>
      <w:r w:rsidR="000D487D">
        <w:rPr>
          <w:bCs/>
          <w:i/>
          <w:iCs/>
        </w:rPr>
        <w:t>,</w:t>
      </w:r>
      <w:r w:rsidR="00B52A4F">
        <w:rPr>
          <w:bCs/>
          <w:i/>
          <w:iCs/>
        </w:rPr>
        <w:t xml:space="preserve"> </w:t>
      </w:r>
      <w:r w:rsidR="00B720DF">
        <w:rPr>
          <w:bCs/>
        </w:rPr>
        <w:t>799 A2d. 555 (N.J. Super. Ct. App.</w:t>
      </w:r>
      <w:r w:rsidR="000D487D">
        <w:rPr>
          <w:bCs/>
        </w:rPr>
        <w:t xml:space="preserve"> D</w:t>
      </w:r>
      <w:r w:rsidR="00B720DF">
        <w:rPr>
          <w:bCs/>
        </w:rPr>
        <w:t>iv. 2001)</w:t>
      </w:r>
      <w:r w:rsidR="00144EB1">
        <w:rPr>
          <w:bCs/>
        </w:rPr>
        <w:t xml:space="preserve"> </w:t>
      </w:r>
      <w:r w:rsidR="00144EB1">
        <w:rPr>
          <w:bCs/>
          <w:i/>
          <w:iCs/>
        </w:rPr>
        <w:t xml:space="preserve">with </w:t>
      </w:r>
      <w:r w:rsidR="00B52A4F">
        <w:rPr>
          <w:bCs/>
          <w:i/>
          <w:iCs/>
        </w:rPr>
        <w:t>Dehnert v. Arrow Sprinklers, Inc.</w:t>
      </w:r>
      <w:r w:rsidR="00396894">
        <w:rPr>
          <w:bCs/>
          <w:i/>
          <w:iCs/>
        </w:rPr>
        <w:t>,</w:t>
      </w:r>
      <w:r w:rsidR="00DA3320">
        <w:rPr>
          <w:bCs/>
          <w:i/>
          <w:iCs/>
        </w:rPr>
        <w:t xml:space="preserve"> </w:t>
      </w:r>
      <w:r w:rsidR="00DA3320">
        <w:rPr>
          <w:bCs/>
        </w:rPr>
        <w:t>705 P.2d 846 (Wyo. 1985).</w:t>
      </w:r>
    </w:p>
    <w:p w14:paraId="4F170454" w14:textId="5B54C8D8" w:rsidR="00AC6D09" w:rsidRDefault="00AC6D09">
      <w:pPr>
        <w:rPr>
          <w:bCs/>
        </w:rPr>
      </w:pPr>
      <w:r>
        <w:rPr>
          <w:bCs/>
        </w:rPr>
        <w:tab/>
        <w:t xml:space="preserve">As already </w:t>
      </w:r>
      <w:r w:rsidR="000F3E6B">
        <w:rPr>
          <w:bCs/>
        </w:rPr>
        <w:t>n</w:t>
      </w:r>
      <w:r w:rsidR="008F6C30">
        <w:rPr>
          <w:bCs/>
        </w:rPr>
        <w:t>oted</w:t>
      </w:r>
      <w:r>
        <w:rPr>
          <w:bCs/>
        </w:rPr>
        <w:t xml:space="preserve">, </w:t>
      </w:r>
      <w:r w:rsidR="00A772E0">
        <w:rPr>
          <w:bCs/>
        </w:rPr>
        <w:t>diffe</w:t>
      </w:r>
      <w:r w:rsidR="003E2333">
        <w:rPr>
          <w:bCs/>
        </w:rPr>
        <w:t>rent</w:t>
      </w:r>
      <w:r w:rsidR="00324214">
        <w:rPr>
          <w:bCs/>
        </w:rPr>
        <w:t xml:space="preserve"> project delivery systems and </w:t>
      </w:r>
      <w:r w:rsidR="00357E78">
        <w:rPr>
          <w:bCs/>
        </w:rPr>
        <w:t>project characteristics</w:t>
      </w:r>
      <w:r w:rsidR="00A772E0">
        <w:rPr>
          <w:bCs/>
        </w:rPr>
        <w:t xml:space="preserve"> </w:t>
      </w:r>
      <w:r w:rsidR="0068176B">
        <w:rPr>
          <w:bCs/>
        </w:rPr>
        <w:t xml:space="preserve">lead to variations in </w:t>
      </w:r>
      <w:r w:rsidR="001C3DE6">
        <w:rPr>
          <w:bCs/>
        </w:rPr>
        <w:t>contract administration</w:t>
      </w:r>
      <w:r w:rsidR="00B0310A">
        <w:rPr>
          <w:bCs/>
        </w:rPr>
        <w:t>.</w:t>
      </w:r>
      <w:r w:rsidR="00D150FE">
        <w:rPr>
          <w:bCs/>
        </w:rPr>
        <w:t xml:space="preserve"> </w:t>
      </w:r>
      <w:r w:rsidR="00F07626">
        <w:rPr>
          <w:bCs/>
        </w:rPr>
        <w:t xml:space="preserve"> </w:t>
      </w:r>
      <w:r w:rsidR="00B66D0A">
        <w:rPr>
          <w:bCs/>
        </w:rPr>
        <w:t xml:space="preserve">In some </w:t>
      </w:r>
      <w:r w:rsidR="006A3248">
        <w:rPr>
          <w:bCs/>
        </w:rPr>
        <w:t>delivery systems</w:t>
      </w:r>
      <w:r w:rsidR="00B66D0A">
        <w:rPr>
          <w:bCs/>
        </w:rPr>
        <w:t xml:space="preserve">, pre-construction services or shared or delegated </w:t>
      </w:r>
      <w:proofErr w:type="gramStart"/>
      <w:r w:rsidR="00B66D0A">
        <w:rPr>
          <w:bCs/>
        </w:rPr>
        <w:t>design</w:t>
      </w:r>
      <w:proofErr w:type="gramEnd"/>
      <w:r w:rsidR="00B66D0A">
        <w:rPr>
          <w:bCs/>
        </w:rPr>
        <w:t xml:space="preserve"> require special administrative coordination. In others, i</w:t>
      </w:r>
      <w:r w:rsidR="00CB7769">
        <w:rPr>
          <w:bCs/>
        </w:rPr>
        <w:t xml:space="preserve">ndependent </w:t>
      </w:r>
      <w:proofErr w:type="gramStart"/>
      <w:r w:rsidR="00CB7769">
        <w:rPr>
          <w:bCs/>
        </w:rPr>
        <w:t>third-parties</w:t>
      </w:r>
      <w:proofErr w:type="gramEnd"/>
      <w:r w:rsidR="00CB7769">
        <w:rPr>
          <w:bCs/>
        </w:rPr>
        <w:t xml:space="preserve"> may </w:t>
      </w:r>
      <w:r w:rsidR="00B372F0">
        <w:rPr>
          <w:bCs/>
        </w:rPr>
        <w:t xml:space="preserve">provide some contract administration, </w:t>
      </w:r>
      <w:r w:rsidR="008A6D0F">
        <w:rPr>
          <w:bCs/>
        </w:rPr>
        <w:t xml:space="preserve">such </w:t>
      </w:r>
      <w:r w:rsidR="00B372F0">
        <w:rPr>
          <w:bCs/>
        </w:rPr>
        <w:t xml:space="preserve">as when a </w:t>
      </w:r>
      <w:r w:rsidR="00117841">
        <w:rPr>
          <w:bCs/>
        </w:rPr>
        <w:t>neutral</w:t>
      </w:r>
      <w:r w:rsidR="00346938">
        <w:rPr>
          <w:bCs/>
        </w:rPr>
        <w:t xml:space="preserve"> </w:t>
      </w:r>
      <w:r w:rsidR="00B372F0">
        <w:rPr>
          <w:bCs/>
        </w:rPr>
        <w:t xml:space="preserve">or an expert board </w:t>
      </w:r>
      <w:r w:rsidR="00346938">
        <w:rPr>
          <w:bCs/>
        </w:rPr>
        <w:t>manage</w:t>
      </w:r>
      <w:r w:rsidR="001401E1">
        <w:rPr>
          <w:bCs/>
        </w:rPr>
        <w:t>s</w:t>
      </w:r>
      <w:r w:rsidR="00346938">
        <w:rPr>
          <w:bCs/>
        </w:rPr>
        <w:t xml:space="preserve"> </w:t>
      </w:r>
      <w:r w:rsidR="007616BB">
        <w:rPr>
          <w:bCs/>
        </w:rPr>
        <w:t>claims and disputes</w:t>
      </w:r>
      <w:r w:rsidR="00346938">
        <w:rPr>
          <w:bCs/>
        </w:rPr>
        <w:t>.</w:t>
      </w:r>
      <w:r w:rsidR="0016491A">
        <w:rPr>
          <w:bCs/>
        </w:rPr>
        <w:t xml:space="preserve"> </w:t>
      </w:r>
      <w:r w:rsidR="00906166">
        <w:rPr>
          <w:bCs/>
        </w:rPr>
        <w:t xml:space="preserve">For public projects, statutes and regulations may govern </w:t>
      </w:r>
      <w:r w:rsidR="00ED54C9">
        <w:rPr>
          <w:bCs/>
        </w:rPr>
        <w:t xml:space="preserve">many contract administration </w:t>
      </w:r>
      <w:r w:rsidR="001401E1">
        <w:rPr>
          <w:bCs/>
        </w:rPr>
        <w:t>details</w:t>
      </w:r>
      <w:r w:rsidR="00906166">
        <w:rPr>
          <w:bCs/>
        </w:rPr>
        <w:t xml:space="preserve">. </w:t>
      </w:r>
      <w:r w:rsidR="0072230A">
        <w:rPr>
          <w:bCs/>
        </w:rPr>
        <w:t>For some</w:t>
      </w:r>
      <w:r w:rsidR="005A24A0">
        <w:rPr>
          <w:bCs/>
        </w:rPr>
        <w:t xml:space="preserve"> projects</w:t>
      </w:r>
      <w:r w:rsidR="0072230A">
        <w:rPr>
          <w:bCs/>
        </w:rPr>
        <w:t>.</w:t>
      </w:r>
      <w:r w:rsidR="00882C11">
        <w:rPr>
          <w:bCs/>
        </w:rPr>
        <w:t xml:space="preserve"> </w:t>
      </w:r>
      <w:r w:rsidR="00B748FC">
        <w:rPr>
          <w:bCs/>
        </w:rPr>
        <w:t xml:space="preserve">special </w:t>
      </w:r>
      <w:r w:rsidR="00194D05">
        <w:rPr>
          <w:bCs/>
        </w:rPr>
        <w:t>procedures apply</w:t>
      </w:r>
      <w:r w:rsidR="00443FDC">
        <w:rPr>
          <w:bCs/>
        </w:rPr>
        <w:t xml:space="preserve"> to commissioning or </w:t>
      </w:r>
      <w:r w:rsidR="00E165BA">
        <w:rPr>
          <w:bCs/>
        </w:rPr>
        <w:t>performance testing</w:t>
      </w:r>
      <w:r w:rsidR="00443FDC">
        <w:rPr>
          <w:bCs/>
        </w:rPr>
        <w:t>.</w:t>
      </w:r>
      <w:r w:rsidR="00D57963">
        <w:rPr>
          <w:bCs/>
        </w:rPr>
        <w:t xml:space="preserve"> </w:t>
      </w:r>
      <w:r w:rsidR="009040EC">
        <w:rPr>
          <w:bCs/>
        </w:rPr>
        <w:t xml:space="preserve">Ideally, the contract documents will </w:t>
      </w:r>
      <w:r w:rsidR="002604AD">
        <w:rPr>
          <w:bCs/>
        </w:rPr>
        <w:t xml:space="preserve">assign the relevant responsibilities </w:t>
      </w:r>
      <w:r w:rsidR="00E543A2">
        <w:rPr>
          <w:bCs/>
        </w:rPr>
        <w:t>through</w:t>
      </w:r>
      <w:r w:rsidR="004621C0">
        <w:rPr>
          <w:bCs/>
        </w:rPr>
        <w:t xml:space="preserve"> a comprehensive framework </w:t>
      </w:r>
      <w:r w:rsidR="00B04843">
        <w:rPr>
          <w:bCs/>
        </w:rPr>
        <w:t>for contract administration</w:t>
      </w:r>
      <w:r w:rsidR="002604AD">
        <w:rPr>
          <w:bCs/>
        </w:rPr>
        <w:t>,</w:t>
      </w:r>
      <w:r w:rsidR="00B04843">
        <w:rPr>
          <w:bCs/>
        </w:rPr>
        <w:t xml:space="preserve"> and </w:t>
      </w:r>
      <w:r w:rsidR="002604AD">
        <w:rPr>
          <w:bCs/>
        </w:rPr>
        <w:t xml:space="preserve">the project participants will </w:t>
      </w:r>
      <w:r w:rsidR="00EB1268">
        <w:rPr>
          <w:bCs/>
        </w:rPr>
        <w:t xml:space="preserve">adhere to that framework throughout the design and construction process. </w:t>
      </w:r>
    </w:p>
    <w:sectPr w:rsidR="00AC6D0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D748" w14:textId="77777777" w:rsidR="00FF3DE0" w:rsidRDefault="00FF3DE0" w:rsidP="005409B2">
      <w:pPr>
        <w:spacing w:after="0" w:line="240" w:lineRule="auto"/>
      </w:pPr>
      <w:r>
        <w:separator/>
      </w:r>
    </w:p>
  </w:endnote>
  <w:endnote w:type="continuationSeparator" w:id="0">
    <w:p w14:paraId="5D920711" w14:textId="77777777" w:rsidR="00FF3DE0" w:rsidRDefault="00FF3DE0" w:rsidP="0054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2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7136D" w14:textId="1DEBF30D" w:rsidR="00B94A10" w:rsidRDefault="00B94A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7AE73E" w14:textId="77777777" w:rsidR="004A43B0" w:rsidRDefault="004A4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FA2F" w14:textId="77777777" w:rsidR="00FF3DE0" w:rsidRDefault="00FF3DE0" w:rsidP="005409B2">
      <w:pPr>
        <w:spacing w:after="0" w:line="240" w:lineRule="auto"/>
      </w:pPr>
      <w:r>
        <w:separator/>
      </w:r>
    </w:p>
  </w:footnote>
  <w:footnote w:type="continuationSeparator" w:id="0">
    <w:p w14:paraId="01B3FED2" w14:textId="77777777" w:rsidR="00FF3DE0" w:rsidRDefault="00FF3DE0" w:rsidP="0054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AB94" w14:textId="6D22CBA9" w:rsidR="005409B2" w:rsidRDefault="004120F1">
    <w:pPr>
      <w:pStyle w:val="Header"/>
    </w:pPr>
    <w:r>
      <w:t xml:space="preserve">© Carl J. Circo </w:t>
    </w:r>
    <w:r w:rsidR="005409B2">
      <w:t>January 2026</w:t>
    </w:r>
  </w:p>
  <w:p w14:paraId="1CDF3CF6" w14:textId="77777777" w:rsidR="005409B2" w:rsidRDefault="005409B2">
    <w:pPr>
      <w:pStyle w:val="Header"/>
    </w:pPr>
  </w:p>
  <w:p w14:paraId="63940243" w14:textId="77777777" w:rsidR="005409B2" w:rsidRDefault="00540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340AF"/>
    <w:multiLevelType w:val="hybridMultilevel"/>
    <w:tmpl w:val="8FF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1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B2"/>
    <w:rsid w:val="000038D9"/>
    <w:rsid w:val="0001208E"/>
    <w:rsid w:val="00053B59"/>
    <w:rsid w:val="000573A2"/>
    <w:rsid w:val="00064911"/>
    <w:rsid w:val="000759B6"/>
    <w:rsid w:val="00082DDF"/>
    <w:rsid w:val="0009254D"/>
    <w:rsid w:val="000B3367"/>
    <w:rsid w:val="000C617D"/>
    <w:rsid w:val="000D487D"/>
    <w:rsid w:val="000D75C9"/>
    <w:rsid w:val="000F3E6B"/>
    <w:rsid w:val="00103ACF"/>
    <w:rsid w:val="00117841"/>
    <w:rsid w:val="00130AE3"/>
    <w:rsid w:val="00131547"/>
    <w:rsid w:val="00137EE7"/>
    <w:rsid w:val="001401E1"/>
    <w:rsid w:val="00144B87"/>
    <w:rsid w:val="00144EB1"/>
    <w:rsid w:val="00144FC3"/>
    <w:rsid w:val="00147E59"/>
    <w:rsid w:val="0016491A"/>
    <w:rsid w:val="001649BD"/>
    <w:rsid w:val="00167972"/>
    <w:rsid w:val="00171BBA"/>
    <w:rsid w:val="00185B01"/>
    <w:rsid w:val="00194D05"/>
    <w:rsid w:val="00195573"/>
    <w:rsid w:val="001A0A79"/>
    <w:rsid w:val="001A162A"/>
    <w:rsid w:val="001A3B11"/>
    <w:rsid w:val="001C3DE6"/>
    <w:rsid w:val="001C78F9"/>
    <w:rsid w:val="001D45DA"/>
    <w:rsid w:val="001D7D27"/>
    <w:rsid w:val="001E1FE0"/>
    <w:rsid w:val="001E4C08"/>
    <w:rsid w:val="001E739A"/>
    <w:rsid w:val="00202882"/>
    <w:rsid w:val="00224F99"/>
    <w:rsid w:val="002453CB"/>
    <w:rsid w:val="00254381"/>
    <w:rsid w:val="00254F1F"/>
    <w:rsid w:val="002604AD"/>
    <w:rsid w:val="002812F3"/>
    <w:rsid w:val="002A2632"/>
    <w:rsid w:val="002A64F7"/>
    <w:rsid w:val="002A690F"/>
    <w:rsid w:val="002A78B2"/>
    <w:rsid w:val="002F4A81"/>
    <w:rsid w:val="002F573E"/>
    <w:rsid w:val="00310BB3"/>
    <w:rsid w:val="00316EF6"/>
    <w:rsid w:val="0031701E"/>
    <w:rsid w:val="00324214"/>
    <w:rsid w:val="00324A5B"/>
    <w:rsid w:val="003267F9"/>
    <w:rsid w:val="00346938"/>
    <w:rsid w:val="00346BC0"/>
    <w:rsid w:val="00352FA1"/>
    <w:rsid w:val="00355FDE"/>
    <w:rsid w:val="00356304"/>
    <w:rsid w:val="00357E78"/>
    <w:rsid w:val="00363194"/>
    <w:rsid w:val="00367A05"/>
    <w:rsid w:val="00370EB6"/>
    <w:rsid w:val="00371D08"/>
    <w:rsid w:val="00396135"/>
    <w:rsid w:val="00396894"/>
    <w:rsid w:val="003A293A"/>
    <w:rsid w:val="003B1888"/>
    <w:rsid w:val="003B4CB5"/>
    <w:rsid w:val="003B690F"/>
    <w:rsid w:val="003C1B69"/>
    <w:rsid w:val="003C5A63"/>
    <w:rsid w:val="003E2333"/>
    <w:rsid w:val="003E2AF8"/>
    <w:rsid w:val="003E469C"/>
    <w:rsid w:val="003F504C"/>
    <w:rsid w:val="003F6E14"/>
    <w:rsid w:val="003F7F03"/>
    <w:rsid w:val="00400F2E"/>
    <w:rsid w:val="004078A3"/>
    <w:rsid w:val="004120F1"/>
    <w:rsid w:val="00420C5A"/>
    <w:rsid w:val="00421248"/>
    <w:rsid w:val="00423002"/>
    <w:rsid w:val="00443FDC"/>
    <w:rsid w:val="00446053"/>
    <w:rsid w:val="004621C0"/>
    <w:rsid w:val="004761F7"/>
    <w:rsid w:val="00485E5C"/>
    <w:rsid w:val="00492085"/>
    <w:rsid w:val="004A43B0"/>
    <w:rsid w:val="004C46E2"/>
    <w:rsid w:val="004D2DC2"/>
    <w:rsid w:val="004E10E0"/>
    <w:rsid w:val="004E48C9"/>
    <w:rsid w:val="004E4FA1"/>
    <w:rsid w:val="004E502E"/>
    <w:rsid w:val="005120C3"/>
    <w:rsid w:val="0051435A"/>
    <w:rsid w:val="0052562D"/>
    <w:rsid w:val="005409B2"/>
    <w:rsid w:val="00546EFD"/>
    <w:rsid w:val="005601D0"/>
    <w:rsid w:val="005631D4"/>
    <w:rsid w:val="00580051"/>
    <w:rsid w:val="005934CB"/>
    <w:rsid w:val="00595EFA"/>
    <w:rsid w:val="00596530"/>
    <w:rsid w:val="005A077A"/>
    <w:rsid w:val="005A24A0"/>
    <w:rsid w:val="005C23B3"/>
    <w:rsid w:val="005C3B84"/>
    <w:rsid w:val="005D1619"/>
    <w:rsid w:val="005D5679"/>
    <w:rsid w:val="005E6F8F"/>
    <w:rsid w:val="005F6D05"/>
    <w:rsid w:val="00605AC5"/>
    <w:rsid w:val="00612D4D"/>
    <w:rsid w:val="00620C08"/>
    <w:rsid w:val="006315E6"/>
    <w:rsid w:val="0067041B"/>
    <w:rsid w:val="0068176B"/>
    <w:rsid w:val="00681C61"/>
    <w:rsid w:val="00686F86"/>
    <w:rsid w:val="006A3248"/>
    <w:rsid w:val="006B58D3"/>
    <w:rsid w:val="006B69EA"/>
    <w:rsid w:val="006C3FE9"/>
    <w:rsid w:val="006C6806"/>
    <w:rsid w:val="006E7AB1"/>
    <w:rsid w:val="006F4DDD"/>
    <w:rsid w:val="0072230A"/>
    <w:rsid w:val="00733ED5"/>
    <w:rsid w:val="00742C9E"/>
    <w:rsid w:val="00752B7E"/>
    <w:rsid w:val="0076003D"/>
    <w:rsid w:val="007616BB"/>
    <w:rsid w:val="00761A3B"/>
    <w:rsid w:val="00793DD7"/>
    <w:rsid w:val="007A02D6"/>
    <w:rsid w:val="007A35B7"/>
    <w:rsid w:val="007A4E95"/>
    <w:rsid w:val="007A4FC1"/>
    <w:rsid w:val="00800098"/>
    <w:rsid w:val="00806F66"/>
    <w:rsid w:val="00816F9D"/>
    <w:rsid w:val="00823B25"/>
    <w:rsid w:val="00826C29"/>
    <w:rsid w:val="00846BB9"/>
    <w:rsid w:val="00852F9E"/>
    <w:rsid w:val="00860DB0"/>
    <w:rsid w:val="0087032F"/>
    <w:rsid w:val="00873E3A"/>
    <w:rsid w:val="00882C11"/>
    <w:rsid w:val="0088742B"/>
    <w:rsid w:val="0089406B"/>
    <w:rsid w:val="008A6145"/>
    <w:rsid w:val="008A6D0F"/>
    <w:rsid w:val="008B350F"/>
    <w:rsid w:val="008B4B41"/>
    <w:rsid w:val="008C3E22"/>
    <w:rsid w:val="008C7D24"/>
    <w:rsid w:val="008D2B9C"/>
    <w:rsid w:val="008D7B9A"/>
    <w:rsid w:val="008F6C30"/>
    <w:rsid w:val="009040EC"/>
    <w:rsid w:val="00904C37"/>
    <w:rsid w:val="00905007"/>
    <w:rsid w:val="00906166"/>
    <w:rsid w:val="00913E8A"/>
    <w:rsid w:val="009225E1"/>
    <w:rsid w:val="0092501B"/>
    <w:rsid w:val="00944A33"/>
    <w:rsid w:val="00950E6B"/>
    <w:rsid w:val="009575CF"/>
    <w:rsid w:val="009739DF"/>
    <w:rsid w:val="009B1667"/>
    <w:rsid w:val="009B4B14"/>
    <w:rsid w:val="009B66DE"/>
    <w:rsid w:val="009C5D68"/>
    <w:rsid w:val="009D4841"/>
    <w:rsid w:val="009E3375"/>
    <w:rsid w:val="009E4008"/>
    <w:rsid w:val="009F4867"/>
    <w:rsid w:val="009F7C58"/>
    <w:rsid w:val="00A30E93"/>
    <w:rsid w:val="00A31701"/>
    <w:rsid w:val="00A37A60"/>
    <w:rsid w:val="00A50D96"/>
    <w:rsid w:val="00A515A8"/>
    <w:rsid w:val="00A53763"/>
    <w:rsid w:val="00A57116"/>
    <w:rsid w:val="00A604A2"/>
    <w:rsid w:val="00A62140"/>
    <w:rsid w:val="00A772E0"/>
    <w:rsid w:val="00A81622"/>
    <w:rsid w:val="00A93113"/>
    <w:rsid w:val="00AC6D09"/>
    <w:rsid w:val="00AE0211"/>
    <w:rsid w:val="00AE2FDB"/>
    <w:rsid w:val="00B0310A"/>
    <w:rsid w:val="00B04843"/>
    <w:rsid w:val="00B14028"/>
    <w:rsid w:val="00B1641C"/>
    <w:rsid w:val="00B372F0"/>
    <w:rsid w:val="00B428B1"/>
    <w:rsid w:val="00B52A4F"/>
    <w:rsid w:val="00B5505F"/>
    <w:rsid w:val="00B66D0A"/>
    <w:rsid w:val="00B720DF"/>
    <w:rsid w:val="00B748FC"/>
    <w:rsid w:val="00B775F7"/>
    <w:rsid w:val="00B80204"/>
    <w:rsid w:val="00B8613F"/>
    <w:rsid w:val="00B94A10"/>
    <w:rsid w:val="00BA73DF"/>
    <w:rsid w:val="00BB4BA7"/>
    <w:rsid w:val="00BC3C88"/>
    <w:rsid w:val="00BE0FCA"/>
    <w:rsid w:val="00BE54FB"/>
    <w:rsid w:val="00C212AF"/>
    <w:rsid w:val="00C31D2B"/>
    <w:rsid w:val="00C37340"/>
    <w:rsid w:val="00C53EFC"/>
    <w:rsid w:val="00C67ADC"/>
    <w:rsid w:val="00C70A3A"/>
    <w:rsid w:val="00C70C1B"/>
    <w:rsid w:val="00C76295"/>
    <w:rsid w:val="00C826D5"/>
    <w:rsid w:val="00C92B2D"/>
    <w:rsid w:val="00CA764A"/>
    <w:rsid w:val="00CB7769"/>
    <w:rsid w:val="00CB7EC6"/>
    <w:rsid w:val="00CC3704"/>
    <w:rsid w:val="00CC605D"/>
    <w:rsid w:val="00CF273F"/>
    <w:rsid w:val="00CF58BA"/>
    <w:rsid w:val="00CF6D5F"/>
    <w:rsid w:val="00D054E4"/>
    <w:rsid w:val="00D11BBB"/>
    <w:rsid w:val="00D14EB1"/>
    <w:rsid w:val="00D150FE"/>
    <w:rsid w:val="00D154C7"/>
    <w:rsid w:val="00D44941"/>
    <w:rsid w:val="00D563DF"/>
    <w:rsid w:val="00D57963"/>
    <w:rsid w:val="00D6319F"/>
    <w:rsid w:val="00D85CAB"/>
    <w:rsid w:val="00DA04D8"/>
    <w:rsid w:val="00DA3320"/>
    <w:rsid w:val="00DA780B"/>
    <w:rsid w:val="00DB28AF"/>
    <w:rsid w:val="00DB735E"/>
    <w:rsid w:val="00DC45F8"/>
    <w:rsid w:val="00DD5093"/>
    <w:rsid w:val="00DD7967"/>
    <w:rsid w:val="00E1431F"/>
    <w:rsid w:val="00E165BA"/>
    <w:rsid w:val="00E22E57"/>
    <w:rsid w:val="00E236FF"/>
    <w:rsid w:val="00E31A79"/>
    <w:rsid w:val="00E36523"/>
    <w:rsid w:val="00E37B9B"/>
    <w:rsid w:val="00E529CD"/>
    <w:rsid w:val="00E543A2"/>
    <w:rsid w:val="00E735F0"/>
    <w:rsid w:val="00E73A0C"/>
    <w:rsid w:val="00E81AD2"/>
    <w:rsid w:val="00E919BF"/>
    <w:rsid w:val="00EA63B7"/>
    <w:rsid w:val="00EB1268"/>
    <w:rsid w:val="00EB5CD5"/>
    <w:rsid w:val="00EB6939"/>
    <w:rsid w:val="00EB6B0D"/>
    <w:rsid w:val="00EC5939"/>
    <w:rsid w:val="00ED23F6"/>
    <w:rsid w:val="00ED2988"/>
    <w:rsid w:val="00ED54C9"/>
    <w:rsid w:val="00ED5869"/>
    <w:rsid w:val="00EE2332"/>
    <w:rsid w:val="00EF1EE7"/>
    <w:rsid w:val="00EF39EB"/>
    <w:rsid w:val="00EF7518"/>
    <w:rsid w:val="00F00429"/>
    <w:rsid w:val="00F07626"/>
    <w:rsid w:val="00F149A1"/>
    <w:rsid w:val="00F202AE"/>
    <w:rsid w:val="00F21D59"/>
    <w:rsid w:val="00F326F5"/>
    <w:rsid w:val="00F4176C"/>
    <w:rsid w:val="00F61448"/>
    <w:rsid w:val="00F63746"/>
    <w:rsid w:val="00F67E66"/>
    <w:rsid w:val="00F70D80"/>
    <w:rsid w:val="00F765A4"/>
    <w:rsid w:val="00F9212F"/>
    <w:rsid w:val="00F977C7"/>
    <w:rsid w:val="00FA2658"/>
    <w:rsid w:val="00FB2C33"/>
    <w:rsid w:val="00FB6ED5"/>
    <w:rsid w:val="00FC0E91"/>
    <w:rsid w:val="00FC2E54"/>
    <w:rsid w:val="00FC7941"/>
    <w:rsid w:val="00FE0D40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FEBA"/>
  <w15:chartTrackingRefBased/>
  <w15:docId w15:val="{97860F4A-1F1E-476E-8594-D8543CAE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9B2"/>
    <w:pPr>
      <w:spacing w:line="259" w:lineRule="auto"/>
    </w:pPr>
    <w:rPr>
      <w:rFonts w:asciiTheme="majorHAnsi" w:hAnsiTheme="majorHAnsi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9B2"/>
    <w:pPr>
      <w:keepNext/>
      <w:keepLines/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9B2"/>
    <w:pPr>
      <w:keepNext/>
      <w:keepLines/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9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9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9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9B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9B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9B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9B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9B2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9B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9B2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9B2"/>
    <w:pPr>
      <w:spacing w:line="278" w:lineRule="auto"/>
      <w:ind w:left="720"/>
      <w:contextualSpacing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540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9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0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9B2"/>
    <w:rPr>
      <w:rFonts w:asciiTheme="majorHAnsi" w:hAnsiTheme="majorHAnsi" w:cstheme="majorHAnsi"/>
    </w:rPr>
  </w:style>
  <w:style w:type="paragraph" w:styleId="Footer">
    <w:name w:val="footer"/>
    <w:basedOn w:val="Normal"/>
    <w:link w:val="FooterChar"/>
    <w:uiPriority w:val="99"/>
    <w:unhideWhenUsed/>
    <w:rsid w:val="00540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9B2"/>
    <w:rPr>
      <w:rFonts w:asciiTheme="majorHAnsi" w:hAnsiTheme="majorHAnsi" w:cstheme="maj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E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E93"/>
    <w:rPr>
      <w:rFonts w:asciiTheme="majorHAnsi" w:hAnsiTheme="majorHAnsi" w:cs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31D92-19B9-496E-97C0-5D1087653B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1062</Words>
  <Characters>6490</Characters>
  <Application>Microsoft Office Word</Application>
  <DocSecurity>0</DocSecurity>
  <Lines>94</Lines>
  <Paragraphs>21</Paragraphs>
  <ScaleCrop>false</ScaleCrop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Circo</dc:creator>
  <cp:keywords/>
  <dc:description/>
  <cp:lastModifiedBy>Carl Circo</cp:lastModifiedBy>
  <cp:revision>292</cp:revision>
  <dcterms:created xsi:type="dcterms:W3CDTF">2026-01-24T14:27:00Z</dcterms:created>
  <dcterms:modified xsi:type="dcterms:W3CDTF">2026-01-30T13:47:00Z</dcterms:modified>
</cp:coreProperties>
</file>