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8AF85" w14:textId="77777777" w:rsidR="007C726E" w:rsidRDefault="007C726E" w:rsidP="007C726E">
      <w:pPr>
        <w:rPr>
          <w:b/>
          <w:bCs/>
        </w:rPr>
      </w:pPr>
      <w:r w:rsidRPr="438B8011">
        <w:rPr>
          <w:b/>
          <w:bCs/>
        </w:rPr>
        <w:t>Construction and Design Law: Managing the Network of Interdependent Relationships</w:t>
      </w:r>
    </w:p>
    <w:p w14:paraId="4C1245F3" w14:textId="77777777" w:rsidR="007C726E" w:rsidRDefault="007C726E" w:rsidP="007C726E">
      <w:pPr>
        <w:jc w:val="center"/>
      </w:pPr>
    </w:p>
    <w:p w14:paraId="741263CD" w14:textId="77777777" w:rsidR="007C726E" w:rsidRDefault="007C726E" w:rsidP="007C726E">
      <w:pPr>
        <w:jc w:val="center"/>
      </w:pPr>
      <w:r>
        <w:t>Carl J. Circo</w:t>
      </w:r>
    </w:p>
    <w:p w14:paraId="008B983A" w14:textId="77777777" w:rsidR="007C726E" w:rsidRDefault="007C726E" w:rsidP="007C726E">
      <w:pPr>
        <w:jc w:val="center"/>
      </w:pPr>
    </w:p>
    <w:p w14:paraId="065B9A27" w14:textId="13BF1F17" w:rsidR="007C726E" w:rsidRDefault="007C726E" w:rsidP="007C726E">
      <w:pPr>
        <w:keepNext/>
        <w:rPr>
          <w:b/>
          <w:bCs/>
        </w:rPr>
      </w:pPr>
      <w:r w:rsidRPr="636C9287">
        <w:rPr>
          <w:b/>
          <w:bCs/>
        </w:rPr>
        <w:t xml:space="preserve">Lesson </w:t>
      </w:r>
      <w:r w:rsidR="002E67D2">
        <w:rPr>
          <w:b/>
          <w:bCs/>
        </w:rPr>
        <w:t>14</w:t>
      </w:r>
      <w:r w:rsidRPr="636C9287">
        <w:rPr>
          <w:b/>
          <w:bCs/>
        </w:rPr>
        <w:t>:</w:t>
      </w:r>
      <w:r w:rsidR="00BF1D47">
        <w:rPr>
          <w:b/>
          <w:bCs/>
        </w:rPr>
        <w:t xml:space="preserve"> Claims Procedures and Measure of Damages</w:t>
      </w:r>
      <w:r w:rsidRPr="636C9287">
        <w:rPr>
          <w:b/>
          <w:bCs/>
        </w:rPr>
        <w:t xml:space="preserve"> </w:t>
      </w:r>
    </w:p>
    <w:p w14:paraId="03357CAD" w14:textId="77777777" w:rsidR="007C726E" w:rsidRPr="00BE1115" w:rsidRDefault="007C726E" w:rsidP="007C726E">
      <w:pPr>
        <w:keepNext/>
        <w:rPr>
          <w:b/>
          <w:bCs/>
        </w:rPr>
      </w:pPr>
    </w:p>
    <w:p w14:paraId="1274E3B8" w14:textId="578F3406" w:rsidR="002B50D3" w:rsidRDefault="00244E11" w:rsidP="00300219">
      <w:pPr>
        <w:spacing w:after="160" w:line="259" w:lineRule="auto"/>
        <w:ind w:firstLine="720"/>
      </w:pPr>
      <w:r>
        <w:t>When c</w:t>
      </w:r>
      <w:r w:rsidR="00833F5D">
        <w:t>onstruction give</w:t>
      </w:r>
      <w:r w:rsidR="00337558">
        <w:t>s</w:t>
      </w:r>
      <w:r w:rsidR="00833F5D">
        <w:t xml:space="preserve"> rise to disputes</w:t>
      </w:r>
      <w:r w:rsidR="00EB35CD">
        <w:t xml:space="preserve"> that</w:t>
      </w:r>
      <w:r w:rsidR="00B631AF">
        <w:t xml:space="preserve"> the parties </w:t>
      </w:r>
      <w:r w:rsidR="00EB35CD">
        <w:t>fail</w:t>
      </w:r>
      <w:r w:rsidR="00B631AF">
        <w:t xml:space="preserve"> to resolve informally, </w:t>
      </w:r>
      <w:r w:rsidR="00366909">
        <w:t xml:space="preserve">they and their lawyers must determine what procedures to follow and what legal remedies may be available. </w:t>
      </w:r>
      <w:r w:rsidR="00121ACF">
        <w:t>Of course,</w:t>
      </w:r>
      <w:r w:rsidR="0036017F">
        <w:t xml:space="preserve"> </w:t>
      </w:r>
      <w:r w:rsidR="00B80772">
        <w:t>general principles of substantive and procedur</w:t>
      </w:r>
      <w:r w:rsidR="00896C5D">
        <w:t>al</w:t>
      </w:r>
      <w:r w:rsidR="00B80772">
        <w:t xml:space="preserve"> law apply to </w:t>
      </w:r>
      <w:r w:rsidR="001306AF">
        <w:t xml:space="preserve">construction industry </w:t>
      </w:r>
      <w:r w:rsidR="00032F62">
        <w:t>claims</w:t>
      </w:r>
      <w:r w:rsidR="00586422">
        <w:t xml:space="preserve"> and remedies</w:t>
      </w:r>
      <w:r w:rsidR="0085773C">
        <w:t>, but</w:t>
      </w:r>
      <w:r w:rsidR="0085771B">
        <w:t xml:space="preserve"> </w:t>
      </w:r>
      <w:r w:rsidR="00937B5E">
        <w:t>dispute</w:t>
      </w:r>
      <w:r w:rsidR="00CB0310">
        <w:t>s between</w:t>
      </w:r>
      <w:r w:rsidR="00E32049">
        <w:t xml:space="preserve"> </w:t>
      </w:r>
      <w:r w:rsidR="00D0385F">
        <w:t>project</w:t>
      </w:r>
      <w:r w:rsidR="007257D1">
        <w:t xml:space="preserve"> participants</w:t>
      </w:r>
      <w:r w:rsidR="000375F0">
        <w:t xml:space="preserve"> </w:t>
      </w:r>
      <w:r w:rsidR="00D0385F">
        <w:t>in a contractual relationship</w:t>
      </w:r>
      <w:r w:rsidR="00374979">
        <w:t xml:space="preserve"> </w:t>
      </w:r>
      <w:r w:rsidR="00D878EC">
        <w:t>typically involve much more than</w:t>
      </w:r>
      <w:r w:rsidR="00331F01">
        <w:t xml:space="preserve"> simply applying those</w:t>
      </w:r>
      <w:r w:rsidR="00D878EC">
        <w:t xml:space="preserve"> general legal principles</w:t>
      </w:r>
      <w:r w:rsidR="00DD20F3">
        <w:t>.</w:t>
      </w:r>
      <w:r w:rsidR="00D0385F">
        <w:t xml:space="preserve"> </w:t>
      </w:r>
      <w:r w:rsidR="004502C2">
        <w:t xml:space="preserve">This lesson </w:t>
      </w:r>
      <w:r w:rsidR="00187055">
        <w:t xml:space="preserve">first </w:t>
      </w:r>
      <w:r w:rsidR="00712534">
        <w:t xml:space="preserve">briefly </w:t>
      </w:r>
      <w:r w:rsidR="00187055">
        <w:t>considers common contractual claims procedures</w:t>
      </w:r>
      <w:r w:rsidR="004E2E49">
        <w:t xml:space="preserve">, and then it </w:t>
      </w:r>
      <w:r w:rsidR="00BA2053">
        <w:t>considers</w:t>
      </w:r>
      <w:r w:rsidR="004E2E49">
        <w:t xml:space="preserve"> </w:t>
      </w:r>
      <w:r w:rsidR="003232CC">
        <w:t xml:space="preserve">remedies available to the disputing parties, </w:t>
      </w:r>
      <w:r w:rsidR="00712534">
        <w:t xml:space="preserve">with </w:t>
      </w:r>
      <w:r w:rsidR="00E31844">
        <w:t xml:space="preserve">an </w:t>
      </w:r>
      <w:r w:rsidR="00712534">
        <w:t>emphasis on</w:t>
      </w:r>
      <w:r w:rsidR="003232CC">
        <w:t xml:space="preserve"> </w:t>
      </w:r>
      <w:r w:rsidR="009A4237">
        <w:t>damages</w:t>
      </w:r>
      <w:r w:rsidR="00BA2053">
        <w:t xml:space="preserve"> for breach of contract</w:t>
      </w:r>
      <w:r w:rsidR="009A4237">
        <w:t>.</w:t>
      </w:r>
    </w:p>
    <w:p w14:paraId="6C2EB5A3" w14:textId="65600D6F" w:rsidR="009A4237" w:rsidRPr="00510F69" w:rsidRDefault="00510F69" w:rsidP="00510F69">
      <w:pPr>
        <w:spacing w:after="160" w:line="259" w:lineRule="auto"/>
        <w:rPr>
          <w:b/>
          <w:bCs/>
        </w:rPr>
      </w:pPr>
      <w:r w:rsidRPr="00510F69">
        <w:rPr>
          <w:b/>
          <w:bCs/>
        </w:rPr>
        <w:t xml:space="preserve">A. </w:t>
      </w:r>
      <w:r w:rsidR="00455550" w:rsidRPr="00510F69">
        <w:rPr>
          <w:b/>
          <w:bCs/>
        </w:rPr>
        <w:t>Claims Procedures</w:t>
      </w:r>
    </w:p>
    <w:p w14:paraId="3EE2E511" w14:textId="59B31161" w:rsidR="00455550" w:rsidRDefault="00F225E1" w:rsidP="00300219">
      <w:pPr>
        <w:spacing w:after="160" w:line="259" w:lineRule="auto"/>
        <w:ind w:firstLine="720"/>
      </w:pPr>
      <w:r>
        <w:t xml:space="preserve">Construction industry contracts commonly include extensive provisions governing </w:t>
      </w:r>
      <w:r w:rsidR="00A4276E">
        <w:t>claims and disputes. Read</w:t>
      </w:r>
      <w:r w:rsidR="00213F00">
        <w:t xml:space="preserve"> Article 15 of</w:t>
      </w:r>
      <w:r w:rsidR="00A4276E">
        <w:t xml:space="preserve"> AIA A201 (2017)</w:t>
      </w:r>
      <w:r w:rsidR="00213F00">
        <w:t xml:space="preserve">, </w:t>
      </w:r>
      <w:r w:rsidR="005324DE">
        <w:t>“General Conditions of the Contract for Construction.”</w:t>
      </w:r>
      <w:r w:rsidR="00A4276E">
        <w:t xml:space="preserve"> </w:t>
      </w:r>
      <w:r w:rsidR="00DE0E3D">
        <w:t>Article 15</w:t>
      </w:r>
      <w:r w:rsidR="00A4276E">
        <w:t xml:space="preserve"> illustrate</w:t>
      </w:r>
      <w:r w:rsidR="00DE0E3D">
        <w:t>s</w:t>
      </w:r>
      <w:r w:rsidR="00A4276E">
        <w:t xml:space="preserve"> features found in many contracts, including </w:t>
      </w:r>
      <w:r w:rsidR="00151767">
        <w:t>those concerning timing</w:t>
      </w:r>
      <w:r w:rsidR="00730D02">
        <w:t xml:space="preserve">, notice requirements, </w:t>
      </w:r>
      <w:r w:rsidR="00125DE7">
        <w:t xml:space="preserve">and a “stepped” process </w:t>
      </w:r>
      <w:r w:rsidR="009975A7">
        <w:t xml:space="preserve">for attempting to address claims and disputes first informally, and then through one or more layers of </w:t>
      </w:r>
      <w:r w:rsidR="000A65F0">
        <w:t xml:space="preserve">formal dispute resolution before submitting the matter to </w:t>
      </w:r>
      <w:r w:rsidR="005E3575">
        <w:t xml:space="preserve">binding arbitration or litigation. Note that </w:t>
      </w:r>
      <w:r w:rsidR="00B44B9C">
        <w:t xml:space="preserve">Article 15 </w:t>
      </w:r>
      <w:r w:rsidR="00504541">
        <w:t xml:space="preserve">includes many details concerning mediation and </w:t>
      </w:r>
      <w:r w:rsidR="00103C16">
        <w:t>arbitration</w:t>
      </w:r>
      <w:r w:rsidR="00331480">
        <w:t xml:space="preserve"> (if the owner and contractor </w:t>
      </w:r>
      <w:r w:rsidR="00F57A4C">
        <w:t>opted for arbitration rather than litigati</w:t>
      </w:r>
      <w:r w:rsidR="00AE37ED">
        <w:t>o</w:t>
      </w:r>
      <w:r w:rsidR="00F57A4C">
        <w:t>n)</w:t>
      </w:r>
      <w:r w:rsidR="00103C16">
        <w:t>. A</w:t>
      </w:r>
      <w:r w:rsidR="006849EF">
        <w:t xml:space="preserve">lso note </w:t>
      </w:r>
      <w:r w:rsidR="00733BF4">
        <w:t>that Section 15.2 establishes detailed procedures</w:t>
      </w:r>
      <w:r w:rsidR="00E5784D">
        <w:t xml:space="preserve"> </w:t>
      </w:r>
      <w:r w:rsidR="00103C16">
        <w:t>for the “Initial Decision</w:t>
      </w:r>
      <w:r w:rsidR="006849EF">
        <w:t xml:space="preserve"> Maker”</w:t>
      </w:r>
      <w:r w:rsidR="00732FF9">
        <w:t xml:space="preserve"> role.</w:t>
      </w:r>
      <w:r w:rsidR="006849EF">
        <w:t xml:space="preserve"> </w:t>
      </w:r>
      <w:r w:rsidR="00DE3251">
        <w:t>The</w:t>
      </w:r>
      <w:r w:rsidR="006849EF">
        <w:t xml:space="preserve"> </w:t>
      </w:r>
      <w:r w:rsidR="007B343E">
        <w:t>waivers of consequential damages</w:t>
      </w:r>
      <w:r w:rsidR="006849EF">
        <w:t xml:space="preserve"> in </w:t>
      </w:r>
      <w:r w:rsidR="007B343E">
        <w:t xml:space="preserve">Section 15.1.7, while not unusual </w:t>
      </w:r>
      <w:r w:rsidR="00B3661A">
        <w:t>in</w:t>
      </w:r>
      <w:r w:rsidR="007B343E">
        <w:t xml:space="preserve"> industry contracts, </w:t>
      </w:r>
      <w:r w:rsidR="00DE3251">
        <w:t>can be</w:t>
      </w:r>
      <w:r w:rsidR="00732FF9">
        <w:t>come a contentious negotiating topic</w:t>
      </w:r>
      <w:r w:rsidR="00DE3251">
        <w:t xml:space="preserve">. </w:t>
      </w:r>
      <w:r w:rsidR="00FD2487">
        <w:t xml:space="preserve">Lawyers advising clients </w:t>
      </w:r>
      <w:r w:rsidR="003A416F">
        <w:t>about claims and disputes should carefully review whatever procedures the controlling contract specif</w:t>
      </w:r>
      <w:r w:rsidR="00966311">
        <w:t>ies</w:t>
      </w:r>
      <w:r w:rsidR="003A416F">
        <w:t xml:space="preserve">. Indeed, </w:t>
      </w:r>
      <w:r w:rsidR="00A778AE">
        <w:t xml:space="preserve">while the cases vary from one jurisdiction to another, </w:t>
      </w:r>
      <w:r w:rsidR="00E935D8">
        <w:t>courts sometimes strictly enforce contractual claims procedures, which means that a party</w:t>
      </w:r>
      <w:r w:rsidR="00286263">
        <w:t xml:space="preserve"> who fails to follow the specified procedures</w:t>
      </w:r>
      <w:r w:rsidR="00E935D8">
        <w:t xml:space="preserve"> risks</w:t>
      </w:r>
      <w:r w:rsidR="00286263">
        <w:t xml:space="preserve"> being barred from pursuing a claim. </w:t>
      </w:r>
      <w:r w:rsidR="00D8761C">
        <w:t xml:space="preserve">See Phillip L. Bruner &amp; Patrick J. O’Connor, Jr., </w:t>
      </w:r>
      <w:r w:rsidR="00D8761C" w:rsidRPr="001511CC">
        <w:rPr>
          <w:i/>
          <w:iCs/>
        </w:rPr>
        <w:t>Bruner &amp; O’Connor on Construction Law</w:t>
      </w:r>
      <w:r w:rsidR="00D8761C">
        <w:t xml:space="preserve">, </w:t>
      </w:r>
      <w:r w:rsidR="005040F2">
        <w:t xml:space="preserve">§§ 3:41, 4:35-4:41, 18:20 </w:t>
      </w:r>
      <w:r w:rsidR="00D8761C">
        <w:t xml:space="preserve">(Westlaw </w:t>
      </w:r>
      <w:r w:rsidR="00C5666E">
        <w:t>Nov</w:t>
      </w:r>
      <w:r w:rsidR="00D8761C">
        <w:t>. 202</w:t>
      </w:r>
      <w:r w:rsidR="00C5666E">
        <w:t>4</w:t>
      </w:r>
      <w:r w:rsidR="00D8761C">
        <w:t xml:space="preserve">). </w:t>
      </w:r>
    </w:p>
    <w:p w14:paraId="7363923C" w14:textId="32C6E60D" w:rsidR="007F770B" w:rsidRPr="00D973DA" w:rsidRDefault="00D973DA" w:rsidP="00D973DA">
      <w:pPr>
        <w:spacing w:after="160" w:line="259" w:lineRule="auto"/>
        <w:rPr>
          <w:b/>
          <w:bCs/>
        </w:rPr>
      </w:pPr>
      <w:r w:rsidRPr="00D973DA">
        <w:rPr>
          <w:b/>
          <w:bCs/>
        </w:rPr>
        <w:t xml:space="preserve">B. </w:t>
      </w:r>
      <w:r w:rsidR="007F770B" w:rsidRPr="00D973DA">
        <w:rPr>
          <w:b/>
          <w:bCs/>
        </w:rPr>
        <w:t>Damages</w:t>
      </w:r>
    </w:p>
    <w:p w14:paraId="22A72A8D" w14:textId="5564B3DC" w:rsidR="007F770B" w:rsidRDefault="007F770B" w:rsidP="00300219">
      <w:pPr>
        <w:spacing w:after="160" w:line="259" w:lineRule="auto"/>
        <w:ind w:firstLine="720"/>
      </w:pPr>
      <w:r>
        <w:t>Assuming</w:t>
      </w:r>
      <w:r w:rsidR="009015CD">
        <w:t xml:space="preserve"> a</w:t>
      </w:r>
      <w:r w:rsidR="00AF29E7">
        <w:t xml:space="preserve"> contracting party has a valid</w:t>
      </w:r>
      <w:r w:rsidR="009015CD">
        <w:t xml:space="preserve"> claim, the question becomes what remedies the law affords the claimant. </w:t>
      </w:r>
      <w:r w:rsidR="00852056">
        <w:t xml:space="preserve">Read </w:t>
      </w:r>
      <w:r w:rsidR="00235BAF">
        <w:t xml:space="preserve">Sections </w:t>
      </w:r>
      <w:r w:rsidR="00525EF8">
        <w:t>19:1 &amp; 19:2</w:t>
      </w:r>
      <w:r w:rsidR="00235BAF">
        <w:t xml:space="preserve"> </w:t>
      </w:r>
      <w:r w:rsidR="007C4B30">
        <w:t xml:space="preserve">in volume </w:t>
      </w:r>
      <w:r w:rsidR="00A2582C">
        <w:t>7</w:t>
      </w:r>
      <w:r w:rsidR="007C4B30">
        <w:t xml:space="preserve"> of </w:t>
      </w:r>
      <w:r w:rsidR="007C4B30" w:rsidRPr="636C9287">
        <w:rPr>
          <w:i/>
          <w:iCs/>
        </w:rPr>
        <w:t>Bruner &amp; O’Connor on Construction Law</w:t>
      </w:r>
      <w:r w:rsidR="007C4B30">
        <w:t xml:space="preserve"> (Westlaw Aug. 2023), by Phillip L. Bruner &amp; Patrick J. O’Connor, Jr.</w:t>
      </w:r>
      <w:r w:rsidR="003C7DAC">
        <w:t>,</w:t>
      </w:r>
      <w:r w:rsidR="00F35B6F">
        <w:t xml:space="preserve"> which</w:t>
      </w:r>
      <w:r w:rsidR="00616AA0">
        <w:t xml:space="preserve"> provide an overview of </w:t>
      </w:r>
      <w:r w:rsidR="003428A7">
        <w:t xml:space="preserve">remedies in the construction industry context. </w:t>
      </w:r>
      <w:r w:rsidR="00747FE1">
        <w:t>As these sections explain, depending on the legal basis for the claim (</w:t>
      </w:r>
      <w:r w:rsidR="00457183">
        <w:t>e.g.,</w:t>
      </w:r>
      <w:r w:rsidR="00747FE1">
        <w:t xml:space="preserve"> contract, tort, equity, or legislation), our legal system recognizes a range of remedies, including damages, indemnification, rescission, restitution, quantum meruit, and injunctive and declaratory relief. These alternative remedies advance different policies, such as protecting the sanctity of contract, preserving the benefit of bargains, respecting reasonable expectations, and righting wrongs based on fault or a party’s ability to manage risk. The law of remedies also establishes constraints based on concepts of </w:t>
      </w:r>
      <w:r w:rsidR="00747FE1">
        <w:lastRenderedPageBreak/>
        <w:t xml:space="preserve">causation and mitigation, and by respecting contractual liability waivers and limits consistent with public policy, </w:t>
      </w:r>
      <w:proofErr w:type="gramStart"/>
      <w:r w:rsidR="00747FE1">
        <w:t>and</w:t>
      </w:r>
      <w:r w:rsidR="007F58F4">
        <w:t xml:space="preserve"> also</w:t>
      </w:r>
      <w:proofErr w:type="gramEnd"/>
      <w:r w:rsidR="00747FE1">
        <w:t xml:space="preserve"> by establishing a boundary between contract and tort (via the economic loss rule</w:t>
      </w:r>
      <w:r w:rsidR="007F58F4">
        <w:t>, as discussed in other lessons</w:t>
      </w:r>
      <w:r w:rsidR="00747FE1">
        <w:t>).</w:t>
      </w:r>
      <w:r w:rsidR="00B95198">
        <w:t xml:space="preserve"> </w:t>
      </w:r>
      <w:r w:rsidR="007744E5">
        <w:t>D</w:t>
      </w:r>
      <w:r w:rsidR="002E4C8E">
        <w:t>ue to the</w:t>
      </w:r>
      <w:r w:rsidR="007744E5">
        <w:t xml:space="preserve"> somewhat </w:t>
      </w:r>
      <w:r w:rsidR="00556FFB">
        <w:t>byzantine</w:t>
      </w:r>
      <w:r w:rsidR="002E4C8E">
        <w:t xml:space="preserve"> historical development of </w:t>
      </w:r>
      <w:r w:rsidR="007744E5">
        <w:t xml:space="preserve">the law and to unique aspects of </w:t>
      </w:r>
      <w:r w:rsidR="000B19EC">
        <w:t>construction industry disputes</w:t>
      </w:r>
      <w:r w:rsidR="00534426">
        <w:t>, which</w:t>
      </w:r>
      <w:r w:rsidR="000B19EC">
        <w:t xml:space="preserve"> often involve </w:t>
      </w:r>
      <w:r w:rsidR="00E1280D">
        <w:t xml:space="preserve">multiple parties, </w:t>
      </w:r>
      <w:r w:rsidR="00A92750">
        <w:t>difficult questions of causation and apportionment of fault further complicate</w:t>
      </w:r>
      <w:r w:rsidR="00A33C73">
        <w:t xml:space="preserve"> matters. </w:t>
      </w:r>
      <w:r w:rsidR="00E41A1F">
        <w:t xml:space="preserve">The result, to quote from Section </w:t>
      </w:r>
      <w:r w:rsidR="00633A02">
        <w:t xml:space="preserve">19:1 is a </w:t>
      </w:r>
      <w:r w:rsidR="00633A02" w:rsidRPr="005508AD">
        <w:t>“</w:t>
      </w:r>
      <w:r w:rsidR="00145678">
        <w:t>‘</w:t>
      </w:r>
      <w:r w:rsidR="00633A02" w:rsidRPr="005508AD">
        <w:t>Gordian Knot</w:t>
      </w:r>
      <w:r w:rsidR="00633A02">
        <w:t>’</w:t>
      </w:r>
      <w:r w:rsidR="00633A02" w:rsidRPr="005508AD">
        <w:t xml:space="preserve"> of remedies and damage measures governing modern construction disputes</w:t>
      </w:r>
      <w:r w:rsidR="00633A02">
        <w:t xml:space="preserve">.” </w:t>
      </w:r>
      <w:r w:rsidR="001C0DDA">
        <w:t xml:space="preserve">While </w:t>
      </w:r>
      <w:r w:rsidR="00145678">
        <w:t xml:space="preserve">later sections in </w:t>
      </w:r>
      <w:r w:rsidR="00C40623">
        <w:t xml:space="preserve">Chapter 19 of the Bruner and O’Connor treatise </w:t>
      </w:r>
      <w:r w:rsidR="001A5302">
        <w:t xml:space="preserve">goes on to review and analyze this “Gordian Knot” </w:t>
      </w:r>
      <w:r w:rsidR="009E6910">
        <w:t>broadly and</w:t>
      </w:r>
      <w:r w:rsidR="001B5511">
        <w:t xml:space="preserve"> in</w:t>
      </w:r>
      <w:r w:rsidR="0076757B">
        <w:t xml:space="preserve"> </w:t>
      </w:r>
      <w:r w:rsidR="001B5511">
        <w:t>detail</w:t>
      </w:r>
      <w:r w:rsidR="009A60FB">
        <w:t>, o</w:t>
      </w:r>
      <w:r w:rsidR="001B5511">
        <w:t>ur primary interest is much narro</w:t>
      </w:r>
      <w:r w:rsidR="0077660C">
        <w:t>wer</w:t>
      </w:r>
      <w:r w:rsidR="001B5511">
        <w:t>.</w:t>
      </w:r>
      <w:r w:rsidR="00461BD5">
        <w:t xml:space="preserve"> </w:t>
      </w:r>
      <w:r w:rsidR="00950F15">
        <w:t xml:space="preserve">Rather than attempting to encompass the entirety of that vast body of law, this lesson narrows the focus </w:t>
      </w:r>
      <w:r w:rsidR="00771AF8">
        <w:t>down to</w:t>
      </w:r>
      <w:r w:rsidR="00F56A91">
        <w:t xml:space="preserve"> principles governing entitlement to monetary damages for breach of contract </w:t>
      </w:r>
      <w:r w:rsidR="00960E80">
        <w:t xml:space="preserve">and the appropriate measure of damages in </w:t>
      </w:r>
      <w:r w:rsidR="009E6910">
        <w:t>t</w:t>
      </w:r>
      <w:r w:rsidR="002F1273">
        <w:t>he</w:t>
      </w:r>
      <w:r w:rsidR="006E3EFE">
        <w:t xml:space="preserve"> most </w:t>
      </w:r>
      <w:r w:rsidR="004575F5">
        <w:t xml:space="preserve">common </w:t>
      </w:r>
      <w:r w:rsidR="0077660C">
        <w:t xml:space="preserve">construction industry </w:t>
      </w:r>
      <w:r w:rsidR="007E72A2">
        <w:t>disputes</w:t>
      </w:r>
      <w:r w:rsidR="006A6218">
        <w:t xml:space="preserve">. </w:t>
      </w:r>
    </w:p>
    <w:p w14:paraId="5BADFCCF" w14:textId="577B4238" w:rsidR="00182F9E" w:rsidRDefault="00646B4D" w:rsidP="00300219">
      <w:pPr>
        <w:spacing w:after="160" w:line="259" w:lineRule="auto"/>
        <w:ind w:firstLine="720"/>
      </w:pPr>
      <w:r>
        <w:t xml:space="preserve"> </w:t>
      </w:r>
      <w:r w:rsidR="00955EBB">
        <w:t>For</w:t>
      </w:r>
      <w:r w:rsidR="00D94871">
        <w:t xml:space="preserve"> breach of contract</w:t>
      </w:r>
      <w:r w:rsidR="00955EBB">
        <w:t>, t</w:t>
      </w:r>
      <w:r w:rsidR="00BF75D3">
        <w:t xml:space="preserve">he </w:t>
      </w:r>
      <w:r w:rsidR="005F209D">
        <w:t>fundamental principle</w:t>
      </w:r>
      <w:r w:rsidR="0011557D">
        <w:t xml:space="preserve"> dictates</w:t>
      </w:r>
      <w:r w:rsidR="005F209D">
        <w:t xml:space="preserve"> that the </w:t>
      </w:r>
      <w:r w:rsidR="004F5FDD">
        <w:t xml:space="preserve">breaching party should be liable for </w:t>
      </w:r>
      <w:proofErr w:type="gramStart"/>
      <w:r w:rsidR="004F5FDD">
        <w:t>expectation</w:t>
      </w:r>
      <w:proofErr w:type="gramEnd"/>
      <w:r w:rsidR="004F5FDD">
        <w:t xml:space="preserve"> damages</w:t>
      </w:r>
      <w:r w:rsidR="00D92AA9">
        <w:t xml:space="preserve"> </w:t>
      </w:r>
      <w:r w:rsidR="00723003">
        <w:t>attributable to the breach</w:t>
      </w:r>
      <w:r w:rsidR="0011557D">
        <w:t xml:space="preserve">, thereby affording the claimant </w:t>
      </w:r>
      <w:r w:rsidR="00AE18E4">
        <w:t>the monetary equivalent of the benefit of the bargain</w:t>
      </w:r>
      <w:r w:rsidR="001F477C">
        <w:t xml:space="preserve">. </w:t>
      </w:r>
      <w:r w:rsidR="00D5063D">
        <w:t xml:space="preserve">Under this rubric, “damages include all costs and losses flowing either directly or as a foreseeable consequence of a breach.” </w:t>
      </w:r>
      <w:r w:rsidR="00934B77">
        <w:t>Phillip L. Bruner &amp; Patrick J. O’Connor, Jr.,</w:t>
      </w:r>
      <w:r w:rsidR="000934EE">
        <w:t xml:space="preserve"> 7</w:t>
      </w:r>
      <w:r w:rsidR="00934B77">
        <w:t xml:space="preserve"> </w:t>
      </w:r>
      <w:r w:rsidR="00934B77" w:rsidRPr="001511CC">
        <w:rPr>
          <w:i/>
          <w:iCs/>
        </w:rPr>
        <w:t>Bruner &amp; O’Connor on Construction Law</w:t>
      </w:r>
      <w:r w:rsidR="00934B77">
        <w:t xml:space="preserve">, </w:t>
      </w:r>
      <w:r w:rsidR="000934EE">
        <w:t>§ 19:14</w:t>
      </w:r>
      <w:r w:rsidR="00934B77">
        <w:t xml:space="preserve"> (Westlaw Nov. 2024).</w:t>
      </w:r>
      <w:r w:rsidR="00314CF9">
        <w:t xml:space="preserve"> </w:t>
      </w:r>
      <w:r w:rsidR="0069433B">
        <w:t xml:space="preserve">As you will soon see, applying that seemingly simple standard to construction industry disputes can </w:t>
      </w:r>
      <w:r w:rsidR="00C17F8C">
        <w:t>lead to</w:t>
      </w:r>
      <w:r w:rsidR="0069433B">
        <w:t xml:space="preserve"> exceedingly complex questions of </w:t>
      </w:r>
      <w:r w:rsidR="006F0758">
        <w:t>proof and</w:t>
      </w:r>
      <w:r w:rsidR="00B53FC2">
        <w:t xml:space="preserve"> to arguments over alternative</w:t>
      </w:r>
      <w:r w:rsidR="006F0758">
        <w:t xml:space="preserve"> measure</w:t>
      </w:r>
      <w:r w:rsidR="00B53FC2">
        <w:t>s</w:t>
      </w:r>
      <w:r w:rsidR="006F0758">
        <w:t xml:space="preserve"> of damages</w:t>
      </w:r>
      <w:r w:rsidR="008B4307">
        <w:t>.</w:t>
      </w:r>
      <w:r w:rsidR="001F7E32">
        <w:t xml:space="preserve"> </w:t>
      </w:r>
    </w:p>
    <w:p w14:paraId="2BC973AD" w14:textId="7BEAE9C6" w:rsidR="00B2759F" w:rsidRDefault="00F6484A" w:rsidP="00300219">
      <w:pPr>
        <w:spacing w:after="160" w:line="259" w:lineRule="auto"/>
        <w:ind w:firstLine="720"/>
      </w:pPr>
      <w:r>
        <w:t>A helpful way to gain a clearer understanding of breach of contract damages as applied to the most common industry claims, is to consider the analysis from the distinct perspectives of design professionals, owners, and builders.</w:t>
      </w:r>
      <w:r w:rsidR="00A716C0">
        <w:t xml:space="preserve"> </w:t>
      </w:r>
      <w:r w:rsidR="00530AC8">
        <w:t>W</w:t>
      </w:r>
      <w:r w:rsidR="00B2759F">
        <w:t>e begin</w:t>
      </w:r>
      <w:r w:rsidR="00A716C0">
        <w:t xml:space="preserve"> </w:t>
      </w:r>
      <w:r w:rsidR="00697AC6">
        <w:t>with</w:t>
      </w:r>
      <w:r w:rsidR="00A716C0">
        <w:t xml:space="preserve"> </w:t>
      </w:r>
      <w:r w:rsidR="00437A3E">
        <w:t>damages</w:t>
      </w:r>
      <w:r w:rsidR="00372C15">
        <w:t xml:space="preserve"> for </w:t>
      </w:r>
      <w:r w:rsidR="008D1E68">
        <w:t xml:space="preserve">common </w:t>
      </w:r>
      <w:r w:rsidR="00DC1F3E">
        <w:t xml:space="preserve">breach of contract </w:t>
      </w:r>
      <w:r w:rsidR="00372C15">
        <w:t>claims</w:t>
      </w:r>
      <w:r w:rsidR="00B2759F">
        <w:t xml:space="preserve"> </w:t>
      </w:r>
      <w:r w:rsidR="008D1E68">
        <w:t xml:space="preserve">brought </w:t>
      </w:r>
      <w:r w:rsidR="004303E8">
        <w:t>by desi</w:t>
      </w:r>
      <w:r w:rsidR="00A730DE">
        <w:t>gn professionals</w:t>
      </w:r>
      <w:r w:rsidR="00174704">
        <w:t>,</w:t>
      </w:r>
      <w:r w:rsidR="00C55EAC">
        <w:t xml:space="preserve"> </w:t>
      </w:r>
      <w:r w:rsidR="005E0EEE">
        <w:t xml:space="preserve">which </w:t>
      </w:r>
      <w:r w:rsidR="00C55EAC">
        <w:t>often</w:t>
      </w:r>
      <w:r w:rsidR="0085180F">
        <w:t xml:space="preserve"> </w:t>
      </w:r>
      <w:r w:rsidR="00174704">
        <w:t>allow for</w:t>
      </w:r>
      <w:r w:rsidR="00845946">
        <w:t xml:space="preserve"> relatively straightforward </w:t>
      </w:r>
      <w:r w:rsidR="00174704">
        <w:t>analysis</w:t>
      </w:r>
      <w:r w:rsidR="00FF2489">
        <w:t>.</w:t>
      </w:r>
      <w:r w:rsidR="00323639">
        <w:t xml:space="preserve"> From there, we move on to the more </w:t>
      </w:r>
      <w:r w:rsidR="0068280A">
        <w:t xml:space="preserve">complex </w:t>
      </w:r>
      <w:r w:rsidR="009D497C">
        <w:t>topic</w:t>
      </w:r>
      <w:r w:rsidR="009A381B">
        <w:t>s</w:t>
      </w:r>
      <w:r w:rsidR="009D497C">
        <w:t xml:space="preserve"> of </w:t>
      </w:r>
      <w:r w:rsidR="0068280A">
        <w:t>damage</w:t>
      </w:r>
      <w:r w:rsidR="00D36BE1">
        <w:t xml:space="preserve"> </w:t>
      </w:r>
      <w:r w:rsidR="009D497C">
        <w:t xml:space="preserve">claims by </w:t>
      </w:r>
      <w:r w:rsidR="00A64DED">
        <w:t>project owners and building contractors</w:t>
      </w:r>
      <w:r w:rsidR="003F63A3">
        <w:t>.</w:t>
      </w:r>
    </w:p>
    <w:p w14:paraId="6D9E0570" w14:textId="0997DF3E" w:rsidR="00F71499" w:rsidRPr="00F71499" w:rsidRDefault="00F71499" w:rsidP="00F71499">
      <w:pPr>
        <w:spacing w:after="160" w:line="259" w:lineRule="auto"/>
        <w:rPr>
          <w:u w:val="single"/>
        </w:rPr>
      </w:pPr>
      <w:r w:rsidRPr="00F71499">
        <w:rPr>
          <w:u w:val="single"/>
        </w:rPr>
        <w:t>Damages incurred by design professionals</w:t>
      </w:r>
    </w:p>
    <w:p w14:paraId="191CEA16" w14:textId="5606567D" w:rsidR="00E06951" w:rsidRDefault="007B3F87" w:rsidP="005E4450">
      <w:pPr>
        <w:spacing w:after="160" w:line="259" w:lineRule="auto"/>
        <w:ind w:firstLine="720"/>
      </w:pPr>
      <w:r>
        <w:t>B</w:t>
      </w:r>
      <w:r w:rsidR="000D67A3">
        <w:t xml:space="preserve">reach of contract </w:t>
      </w:r>
      <w:r>
        <w:t>claims brought by design professionals most often</w:t>
      </w:r>
      <w:r w:rsidR="008D620D">
        <w:t xml:space="preserve"> </w:t>
      </w:r>
      <w:r w:rsidR="00AE48D4">
        <w:t>involve</w:t>
      </w:r>
      <w:r w:rsidR="00F0705A">
        <w:t xml:space="preserve"> </w:t>
      </w:r>
      <w:r w:rsidR="0085762A">
        <w:t xml:space="preserve">disputes </w:t>
      </w:r>
      <w:r w:rsidR="005A5696">
        <w:t>over payment for</w:t>
      </w:r>
      <w:r w:rsidR="006E7AE2">
        <w:t xml:space="preserve"> services</w:t>
      </w:r>
      <w:r w:rsidR="009E7D92">
        <w:t xml:space="preserve"> rendered</w:t>
      </w:r>
      <w:r w:rsidR="005269D4">
        <w:t>.</w:t>
      </w:r>
      <w:r w:rsidR="00DF68F4">
        <w:t xml:space="preserve"> </w:t>
      </w:r>
      <w:r w:rsidR="005269D4">
        <w:t>The services involved</w:t>
      </w:r>
      <w:r w:rsidR="009E7D92">
        <w:t xml:space="preserve"> may </w:t>
      </w:r>
      <w:r w:rsidR="00D1288E">
        <w:t xml:space="preserve">either </w:t>
      </w:r>
      <w:r w:rsidR="009E7D92">
        <w:t xml:space="preserve">be </w:t>
      </w:r>
      <w:r w:rsidR="00D1288E">
        <w:t>ones</w:t>
      </w:r>
      <w:r w:rsidR="00856123">
        <w:t xml:space="preserve"> the designer</w:t>
      </w:r>
      <w:r w:rsidR="00D1288E">
        <w:t xml:space="preserve"> </w:t>
      </w:r>
      <w:r w:rsidR="009E7D92">
        <w:t xml:space="preserve">expressly </w:t>
      </w:r>
      <w:r w:rsidR="00856123">
        <w:t>agreed to provide under</w:t>
      </w:r>
      <w:r w:rsidR="0079079E">
        <w:t xml:space="preserve"> </w:t>
      </w:r>
      <w:r w:rsidR="00FB0F0D">
        <w:t xml:space="preserve">the </w:t>
      </w:r>
      <w:r w:rsidR="005269D4">
        <w:t>contract</w:t>
      </w:r>
      <w:r w:rsidR="0079079E">
        <w:t xml:space="preserve"> or</w:t>
      </w:r>
      <w:r w:rsidR="00DF5FAA">
        <w:t xml:space="preserve"> </w:t>
      </w:r>
      <w:r w:rsidR="00E600A4">
        <w:t xml:space="preserve">ones the designer </w:t>
      </w:r>
      <w:r w:rsidR="00801BB3">
        <w:t>characterizes as additional service</w:t>
      </w:r>
      <w:r w:rsidR="009F3527">
        <w:t>s</w:t>
      </w:r>
      <w:r w:rsidR="005164CF">
        <w:t>.</w:t>
      </w:r>
      <w:r w:rsidR="009C0733">
        <w:t xml:space="preserve"> If the</w:t>
      </w:r>
      <w:r w:rsidR="00E81E5A">
        <w:t xml:space="preserve"> </w:t>
      </w:r>
      <w:r w:rsidR="009E378F">
        <w:t>evidence shows that</w:t>
      </w:r>
      <w:r w:rsidR="00E81E5A">
        <w:t xml:space="preserve"> </w:t>
      </w:r>
      <w:r w:rsidR="00720CC3">
        <w:t>payment is due for</w:t>
      </w:r>
      <w:r w:rsidR="00F91371">
        <w:t xml:space="preserve"> </w:t>
      </w:r>
      <w:r w:rsidR="00E81E5A">
        <w:t xml:space="preserve">services </w:t>
      </w:r>
      <w:r w:rsidR="00720CC3">
        <w:t xml:space="preserve">performed </w:t>
      </w:r>
      <w:r w:rsidR="00E81E5A">
        <w:t xml:space="preserve">as </w:t>
      </w:r>
      <w:r w:rsidR="004703C0">
        <w:t>specified in</w:t>
      </w:r>
      <w:r w:rsidR="00165F06">
        <w:t xml:space="preserve"> the </w:t>
      </w:r>
      <w:r w:rsidR="00A84B1E">
        <w:t>contract</w:t>
      </w:r>
      <w:r w:rsidR="002622D7">
        <w:t xml:space="preserve">, </w:t>
      </w:r>
      <w:r w:rsidR="007B2B88">
        <w:t xml:space="preserve">then the </w:t>
      </w:r>
      <w:r w:rsidR="00134A87">
        <w:t xml:space="preserve">measure of </w:t>
      </w:r>
      <w:r w:rsidR="003C3545">
        <w:t>damage</w:t>
      </w:r>
      <w:r w:rsidR="00134A87">
        <w:t>s</w:t>
      </w:r>
      <w:r w:rsidR="003C3545">
        <w:t xml:space="preserve"> </w:t>
      </w:r>
      <w:r w:rsidR="000F25CE">
        <w:t xml:space="preserve">usually </w:t>
      </w:r>
      <w:r w:rsidR="00165F06">
        <w:t>may be</w:t>
      </w:r>
      <w:r w:rsidR="003C3545">
        <w:t xml:space="preserve"> based on the contract price</w:t>
      </w:r>
      <w:r w:rsidR="00A84B1E">
        <w:t>, which may either be a fixed amount for specified services or</w:t>
      </w:r>
      <w:r w:rsidR="009460F3">
        <w:t xml:space="preserve"> a</w:t>
      </w:r>
      <w:r w:rsidR="00A84B1E">
        <w:t xml:space="preserve"> formula</w:t>
      </w:r>
      <w:r w:rsidR="00AF20BC">
        <w:t xml:space="preserve">. </w:t>
      </w:r>
      <w:r w:rsidR="00B328F7">
        <w:t>Account</w:t>
      </w:r>
      <w:r w:rsidR="00A53EA2">
        <w:t>ing</w:t>
      </w:r>
      <w:r w:rsidR="00B328F7">
        <w:t xml:space="preserve"> c</w:t>
      </w:r>
      <w:r w:rsidR="00AF20BC">
        <w:t xml:space="preserve">omplications may arise if </w:t>
      </w:r>
      <w:r w:rsidR="00DB5BD4">
        <w:t>variable</w:t>
      </w:r>
      <w:r w:rsidR="00AF20BC">
        <w:t xml:space="preserve"> compensation </w:t>
      </w:r>
      <w:r w:rsidR="00B62F36">
        <w:t>terms</w:t>
      </w:r>
      <w:r w:rsidR="00DB5BD4">
        <w:t xml:space="preserve"> apply</w:t>
      </w:r>
      <w:r w:rsidR="00AA3719">
        <w:t xml:space="preserve"> </w:t>
      </w:r>
      <w:r w:rsidR="004A0B85">
        <w:t xml:space="preserve">for different </w:t>
      </w:r>
      <w:r w:rsidR="000C0FCB">
        <w:t>categories of services</w:t>
      </w:r>
      <w:r w:rsidR="00A53EA2">
        <w:t>, but</w:t>
      </w:r>
      <w:r w:rsidR="00634CFD">
        <w:t xml:space="preserve"> these are generally manageable</w:t>
      </w:r>
      <w:r w:rsidR="00650933">
        <w:t xml:space="preserve"> problems</w:t>
      </w:r>
      <w:r w:rsidR="00634CFD">
        <w:t xml:space="preserve"> if</w:t>
      </w:r>
      <w:r w:rsidR="00A53EA2">
        <w:t xml:space="preserve"> the design firm maintain</w:t>
      </w:r>
      <w:r w:rsidR="00650933">
        <w:t>s</w:t>
      </w:r>
      <w:r w:rsidR="00A53EA2">
        <w:t xml:space="preserve"> sound recordkeeping</w:t>
      </w:r>
      <w:r w:rsidR="00634CFD">
        <w:t xml:space="preserve">. For example, </w:t>
      </w:r>
      <w:r w:rsidR="007E3EE9">
        <w:t>different hourly rates may apply based on who performed specific services (</w:t>
      </w:r>
      <w:r w:rsidR="002132D1">
        <w:t xml:space="preserve">such as for </w:t>
      </w:r>
      <w:r w:rsidR="007E3EE9">
        <w:t>senior or junior licensed professional</w:t>
      </w:r>
      <w:r w:rsidR="000C2CE2">
        <w:t>s</w:t>
      </w:r>
      <w:r w:rsidR="007E3EE9">
        <w:t xml:space="preserve">, </w:t>
      </w:r>
      <w:r w:rsidR="0083327E">
        <w:t>drafting personnel</w:t>
      </w:r>
      <w:r w:rsidR="007E3EE9">
        <w:t>,</w:t>
      </w:r>
      <w:r w:rsidR="00D17E18">
        <w:t xml:space="preserve"> or</w:t>
      </w:r>
      <w:r w:rsidR="007E3EE9">
        <w:t xml:space="preserve"> </w:t>
      </w:r>
      <w:r w:rsidR="002132D1">
        <w:t xml:space="preserve">clerical staff), or for different categories of service </w:t>
      </w:r>
      <w:r w:rsidR="00D17E18">
        <w:t>(such as preparing plans and specifications, attending meetings, or making site inspections).</w:t>
      </w:r>
      <w:r w:rsidR="0070671E">
        <w:t xml:space="preserve"> Indeed, if the contract price is a fixed sum and the </w:t>
      </w:r>
      <w:r w:rsidR="002B0571">
        <w:t>evidence shows that</w:t>
      </w:r>
      <w:r w:rsidR="0070671E">
        <w:t xml:space="preserve"> the firm performed all services in accordance with the contract requirements, the measure of damages </w:t>
      </w:r>
      <w:r w:rsidR="004C7C74">
        <w:t>may be as simple as calculating the difference between the contract price and the cumulative payments</w:t>
      </w:r>
      <w:r w:rsidR="002B0571">
        <w:t xml:space="preserve"> made </w:t>
      </w:r>
      <w:r w:rsidR="002B0571">
        <w:lastRenderedPageBreak/>
        <w:t>against that total</w:t>
      </w:r>
      <w:r w:rsidR="007E1A39">
        <w:t>, perhaps along with prejudgment or post judgment interest</w:t>
      </w:r>
      <w:r w:rsidR="002B0571">
        <w:t>.</w:t>
      </w:r>
      <w:r w:rsidR="007C1960">
        <w:t xml:space="preserve"> If the claim is for </w:t>
      </w:r>
      <w:r w:rsidR="005F1657">
        <w:t xml:space="preserve">additional </w:t>
      </w:r>
      <w:r w:rsidR="00844E89">
        <w:t xml:space="preserve">services </w:t>
      </w:r>
      <w:r w:rsidR="005077C2">
        <w:t>not within</w:t>
      </w:r>
      <w:r w:rsidR="005F1657">
        <w:t xml:space="preserve"> the contract </w:t>
      </w:r>
      <w:r w:rsidR="005077C2">
        <w:t>scope</w:t>
      </w:r>
      <w:r w:rsidR="005F1657">
        <w:t xml:space="preserve">, the calculation may also be a relatively straightforward mathematical computation </w:t>
      </w:r>
      <w:r w:rsidR="005077C2">
        <w:t>if the contract establishes</w:t>
      </w:r>
      <w:r w:rsidR="005F1657">
        <w:t xml:space="preserve"> rates or a formula for additional services. </w:t>
      </w:r>
      <w:r w:rsidR="00A37BFA">
        <w:t>I</w:t>
      </w:r>
      <w:r w:rsidR="00DC3419">
        <w:t>n other circumstances,</w:t>
      </w:r>
      <w:r w:rsidR="005F1657">
        <w:t xml:space="preserve"> the</w:t>
      </w:r>
      <w:r w:rsidR="006E5421">
        <w:t xml:space="preserve"> measure of damages may be</w:t>
      </w:r>
      <w:r w:rsidR="00F56E99">
        <w:t xml:space="preserve"> the reasonable value of the services</w:t>
      </w:r>
      <w:r w:rsidR="006E5421">
        <w:t xml:space="preserve">, in which case the parties may submit conflicting </w:t>
      </w:r>
      <w:r w:rsidR="00527E3F">
        <w:t>testimony</w:t>
      </w:r>
      <w:r w:rsidR="006E5421">
        <w:t xml:space="preserve"> </w:t>
      </w:r>
      <w:r w:rsidR="008F4A5E">
        <w:t>concerning</w:t>
      </w:r>
      <w:r w:rsidR="006E5421">
        <w:t xml:space="preserve"> industry practices</w:t>
      </w:r>
      <w:r w:rsidR="00061143">
        <w:t xml:space="preserve"> and standards.</w:t>
      </w:r>
    </w:p>
    <w:p w14:paraId="3F5FC602" w14:textId="030D6B99" w:rsidR="00F71499" w:rsidRPr="00F71499" w:rsidRDefault="00F71499" w:rsidP="00F71499">
      <w:pPr>
        <w:spacing w:after="160" w:line="259" w:lineRule="auto"/>
        <w:rPr>
          <w:u w:val="single"/>
        </w:rPr>
      </w:pPr>
      <w:r w:rsidRPr="00F71499">
        <w:rPr>
          <w:u w:val="single"/>
        </w:rPr>
        <w:t>Damages incurred by owners</w:t>
      </w:r>
    </w:p>
    <w:p w14:paraId="2D209367" w14:textId="0DF07D6D" w:rsidR="005D0C8C" w:rsidRDefault="00CB75E8" w:rsidP="005D0C8C">
      <w:pPr>
        <w:spacing w:after="160" w:line="259" w:lineRule="auto"/>
        <w:ind w:firstLine="720"/>
      </w:pPr>
      <w:r>
        <w:t>An owner’s damages</w:t>
      </w:r>
      <w:r w:rsidR="003974B0">
        <w:t xml:space="preserve"> often involve claims of defective work or services. </w:t>
      </w:r>
      <w:r w:rsidR="007D4412">
        <w:t xml:space="preserve">See </w:t>
      </w:r>
      <w:r w:rsidR="00A66555">
        <w:t xml:space="preserve">Josh M. Leavitt &amp; Daniel G. Rosenberg, </w:t>
      </w:r>
      <w:r w:rsidR="00A66555">
        <w:rPr>
          <w:i/>
          <w:iCs/>
        </w:rPr>
        <w:t>Toward A Unified Theory of Damages in Construction Cases: Part I—Navigating Through the Di</w:t>
      </w:r>
      <w:r w:rsidR="00303D06">
        <w:rPr>
          <w:i/>
          <w:iCs/>
        </w:rPr>
        <w:t>minution of Value vs. Cost of Repair Debate in Defect Cases and Allocating Burdens of Proof</w:t>
      </w:r>
      <w:r w:rsidR="00303D06">
        <w:t>, 2 J. Am. Coll. Constr. Laws 1 (</w:t>
      </w:r>
      <w:r w:rsidR="002F2E93">
        <w:t>Issue</w:t>
      </w:r>
      <w:r w:rsidR="008E4E63">
        <w:t xml:space="preserve"> No.</w:t>
      </w:r>
      <w:r w:rsidR="002F2E93">
        <w:t xml:space="preserve"> 1, </w:t>
      </w:r>
      <w:r w:rsidR="005C41DC">
        <w:t>2</w:t>
      </w:r>
      <w:r w:rsidR="008E4E63">
        <w:t>008)</w:t>
      </w:r>
      <w:r w:rsidR="007D4412">
        <w:t xml:space="preserve">. </w:t>
      </w:r>
      <w:r w:rsidR="003974B0">
        <w:t>In the simplest cases,</w:t>
      </w:r>
      <w:r w:rsidR="00775FC7">
        <w:t xml:space="preserve"> such as where the evidence </w:t>
      </w:r>
      <w:r w:rsidR="00B80EEF">
        <w:t>establishes</w:t>
      </w:r>
      <w:r w:rsidR="00775FC7">
        <w:t xml:space="preserve"> one or a few discrete defects,</w:t>
      </w:r>
      <w:r w:rsidR="003974B0">
        <w:t xml:space="preserve"> the measure of damages may be the cost</w:t>
      </w:r>
      <w:r w:rsidR="00BD1743">
        <w:t xml:space="preserve"> required to</w:t>
      </w:r>
      <w:r w:rsidR="003974B0">
        <w:t xml:space="preserve"> </w:t>
      </w:r>
      <w:r w:rsidR="00A80DB9">
        <w:t>correct</w:t>
      </w:r>
      <w:r w:rsidR="00BD1743">
        <w:t xml:space="preserve"> the problem</w:t>
      </w:r>
      <w:r w:rsidR="00B2180E">
        <w:t>. E</w:t>
      </w:r>
      <w:r w:rsidR="001C5A68">
        <w:t>ven then</w:t>
      </w:r>
      <w:r w:rsidR="00B2180E">
        <w:t>, however,</w:t>
      </w:r>
      <w:r w:rsidR="001C5A68">
        <w:t xml:space="preserve"> the defendant may dispute </w:t>
      </w:r>
      <w:r w:rsidR="002B0AD5">
        <w:t>what</w:t>
      </w:r>
      <w:r w:rsidR="00B2180E">
        <w:t xml:space="preserve"> was</w:t>
      </w:r>
      <w:r w:rsidR="002B0AD5">
        <w:t xml:space="preserve"> necessary for that purpose</w:t>
      </w:r>
      <w:r w:rsidR="00B2180E">
        <w:t xml:space="preserve"> and whether the</w:t>
      </w:r>
      <w:r w:rsidR="00A4752F">
        <w:t xml:space="preserve"> owner paid</w:t>
      </w:r>
      <w:r w:rsidR="0002228C">
        <w:t xml:space="preserve"> more than a reasonable price</w:t>
      </w:r>
      <w:r w:rsidR="00A4752F">
        <w:t xml:space="preserve"> for </w:t>
      </w:r>
      <w:r w:rsidR="0002228C">
        <w:t xml:space="preserve">the </w:t>
      </w:r>
      <w:r w:rsidR="00A4752F">
        <w:t>corrective work or services</w:t>
      </w:r>
      <w:r w:rsidR="00487970">
        <w:t>.</w:t>
      </w:r>
      <w:r w:rsidR="008F0296">
        <w:t xml:space="preserve"> </w:t>
      </w:r>
      <w:r w:rsidR="003A7A1E">
        <w:t>In more complex defect cases, the parties may</w:t>
      </w:r>
      <w:r w:rsidR="00587150">
        <w:t xml:space="preserve"> dispute whether</w:t>
      </w:r>
      <w:r w:rsidR="006228B7">
        <w:t xml:space="preserve"> </w:t>
      </w:r>
      <w:r w:rsidR="005934B2">
        <w:t>repairs or modifications should be sufficient to compensate the owner or</w:t>
      </w:r>
      <w:r w:rsidR="00CC2E32">
        <w:t>, instead,</w:t>
      </w:r>
      <w:r w:rsidR="005934B2">
        <w:t xml:space="preserve"> whether </w:t>
      </w:r>
      <w:r w:rsidR="00377FB2">
        <w:t xml:space="preserve">parts of the project </w:t>
      </w:r>
      <w:r w:rsidR="002051A3">
        <w:t xml:space="preserve">should </w:t>
      </w:r>
      <w:r w:rsidR="00377FB2">
        <w:t>be removed</w:t>
      </w:r>
      <w:r w:rsidR="00F768A5">
        <w:t xml:space="preserve"> and </w:t>
      </w:r>
      <w:r w:rsidR="00642988">
        <w:t>replaced</w:t>
      </w:r>
      <w:r w:rsidR="007649A6">
        <w:t>.</w:t>
      </w:r>
      <w:r w:rsidR="00487970">
        <w:t xml:space="preserve"> In many jurisdictions, either by statute or </w:t>
      </w:r>
      <w:r w:rsidR="00B907D1">
        <w:t>case law</w:t>
      </w:r>
      <w:r w:rsidR="00487970">
        <w:t xml:space="preserve">, a </w:t>
      </w:r>
      <w:r w:rsidR="003C055C">
        <w:t xml:space="preserve">general contractor may have </w:t>
      </w:r>
      <w:r w:rsidR="004F16B0">
        <w:t xml:space="preserve">a right to </w:t>
      </w:r>
      <w:proofErr w:type="gramStart"/>
      <w:r w:rsidR="004F16B0">
        <w:t>a formal</w:t>
      </w:r>
      <w:proofErr w:type="gramEnd"/>
      <w:r w:rsidR="004F16B0">
        <w:t xml:space="preserve"> notice of the alleged defects and </w:t>
      </w:r>
      <w:r w:rsidR="003C055C">
        <w:t>the option to fix the problem rather than to pay damage</w:t>
      </w:r>
      <w:r w:rsidR="00EB76A0">
        <w:t>s</w:t>
      </w:r>
      <w:r w:rsidR="003C055C">
        <w:t>.</w:t>
      </w:r>
      <w:r w:rsidR="001042E1">
        <w:t xml:space="preserve"> </w:t>
      </w:r>
    </w:p>
    <w:p w14:paraId="7BCA9888" w14:textId="78FB3001" w:rsidR="0059370A" w:rsidRDefault="00B907D1" w:rsidP="000D5BE0">
      <w:pPr>
        <w:spacing w:after="160" w:line="259" w:lineRule="auto"/>
        <w:ind w:firstLine="720"/>
      </w:pPr>
      <w:r>
        <w:t>Many other questions may fuel</w:t>
      </w:r>
      <w:r w:rsidR="00595C5E">
        <w:t xml:space="preserve"> debates</w:t>
      </w:r>
      <w:r w:rsidR="00416179">
        <w:t xml:space="preserve"> over </w:t>
      </w:r>
      <w:r w:rsidR="00D93B50">
        <w:t>an owner’s damage claim</w:t>
      </w:r>
      <w:r w:rsidR="00595C5E">
        <w:t xml:space="preserve">. </w:t>
      </w:r>
      <w:r w:rsidR="001042E1">
        <w:t xml:space="preserve">Are the circumstances such that some or all damages the owner </w:t>
      </w:r>
      <w:r w:rsidR="00A203AB">
        <w:t>seeks to recover</w:t>
      </w:r>
      <w:r w:rsidR="001042E1">
        <w:t xml:space="preserve"> are too speculative?</w:t>
      </w:r>
      <w:r w:rsidR="00A203AB">
        <w:t xml:space="preserve"> </w:t>
      </w:r>
      <w:r w:rsidR="00281087">
        <w:t xml:space="preserve"> </w:t>
      </w:r>
      <w:r w:rsidR="007B5F4B">
        <w:t>I</w:t>
      </w:r>
      <w:r w:rsidR="00616DC7">
        <w:t>nstead of the cost to correct, is</w:t>
      </w:r>
      <w:r w:rsidR="007B5F4B">
        <w:t xml:space="preserve"> </w:t>
      </w:r>
      <w:r w:rsidR="007B7BD1">
        <w:t>the just measure of damages</w:t>
      </w:r>
      <w:r w:rsidR="003D7814">
        <w:t xml:space="preserve"> the diminished value of the project as completed versus as designed</w:t>
      </w:r>
      <w:r w:rsidR="0003267D">
        <w:t xml:space="preserve">? In </w:t>
      </w:r>
      <w:r w:rsidR="00014F7B">
        <w:t>a</w:t>
      </w:r>
      <w:r w:rsidR="0003267D">
        <w:t xml:space="preserve"> famous </w:t>
      </w:r>
      <w:r w:rsidR="00EE214A">
        <w:t>opinion</w:t>
      </w:r>
      <w:r w:rsidR="0001092B">
        <w:t xml:space="preserve"> addressing this issue</w:t>
      </w:r>
      <w:r w:rsidR="0003267D">
        <w:t>, Justice</w:t>
      </w:r>
      <w:r w:rsidR="00014F7B">
        <w:t xml:space="preserve"> Cardozo</w:t>
      </w:r>
      <w:r w:rsidR="0003267D">
        <w:t xml:space="preserve"> </w:t>
      </w:r>
      <w:r w:rsidR="00AE0600">
        <w:t>proclaimed the principle now known as the economic waste doctrine:</w:t>
      </w:r>
      <w:r w:rsidR="005048B3">
        <w:t xml:space="preserve"> </w:t>
      </w:r>
      <w:r w:rsidR="00462890">
        <w:t>“</w:t>
      </w:r>
      <w:r w:rsidR="00462890" w:rsidRPr="00E9656B">
        <w:t>The owner is entitled to the money which will permit him to complete, unless the cost of completion is grossly and unfairly out of proportion to the good to be attained. When that is true, the measure is the difference in value.</w:t>
      </w:r>
      <w:r w:rsidR="00462890">
        <w:t xml:space="preserve">” </w:t>
      </w:r>
      <w:r w:rsidR="00462890" w:rsidRPr="00825CF2">
        <w:rPr>
          <w:i/>
          <w:iCs/>
        </w:rPr>
        <w:t>Jacob &amp; Youngs v. Kent</w:t>
      </w:r>
      <w:r w:rsidR="00462890" w:rsidRPr="00E9656B">
        <w:t>, 230 N.Y. 239, 244</w:t>
      </w:r>
      <w:r w:rsidR="00682C9F">
        <w:t xml:space="preserve"> </w:t>
      </w:r>
      <w:r w:rsidR="00462890" w:rsidRPr="00E9656B">
        <w:t>(</w:t>
      </w:r>
      <w:r w:rsidR="00682C9F">
        <w:t xml:space="preserve">N.Y. </w:t>
      </w:r>
      <w:r w:rsidR="00462890" w:rsidRPr="00E9656B">
        <w:t>1921)</w:t>
      </w:r>
      <w:r w:rsidR="00462890">
        <w:t>.</w:t>
      </w:r>
      <w:r w:rsidR="0064031A">
        <w:t xml:space="preserve"> </w:t>
      </w:r>
      <w:r w:rsidR="004E7423">
        <w:t>At other times, the question is whether</w:t>
      </w:r>
      <w:r w:rsidR="0064031A">
        <w:t xml:space="preserve"> </w:t>
      </w:r>
      <w:r w:rsidR="00351078">
        <w:t>a</w:t>
      </w:r>
      <w:r w:rsidR="0064031A">
        <w:t xml:space="preserve"> </w:t>
      </w:r>
      <w:r w:rsidR="0071614C">
        <w:t xml:space="preserve">repair or replacement </w:t>
      </w:r>
      <w:r w:rsidR="00351078">
        <w:t xml:space="preserve">made to correct the breach </w:t>
      </w:r>
      <w:r w:rsidR="00694A09">
        <w:t>gave</w:t>
      </w:r>
      <w:r w:rsidR="000929B8">
        <w:t xml:space="preserve"> the owner</w:t>
      </w:r>
      <w:r w:rsidR="0071614C">
        <w:t xml:space="preserve"> </w:t>
      </w:r>
      <w:r w:rsidR="000767BD">
        <w:t>something</w:t>
      </w:r>
      <w:r w:rsidR="003245D3">
        <w:t xml:space="preserve"> </w:t>
      </w:r>
      <w:r w:rsidR="008C1BF1">
        <w:t>exceeding the benefit of the bargain</w:t>
      </w:r>
      <w:r w:rsidR="00351078">
        <w:t>.</w:t>
      </w:r>
      <w:r w:rsidR="008C1BF1">
        <w:t xml:space="preserve"> </w:t>
      </w:r>
      <w:r w:rsidR="0065315B">
        <w:t>This question most often arises in defective design cases</w:t>
      </w:r>
      <w:r w:rsidR="00A40EA3">
        <w:t>, such as a case in which paneling</w:t>
      </w:r>
      <w:r w:rsidR="009B2BF3">
        <w:t xml:space="preserve"> that</w:t>
      </w:r>
      <w:r w:rsidR="00F8404A">
        <w:t xml:space="preserve"> an architect specified for a hospital project </w:t>
      </w:r>
      <w:r w:rsidR="00A40EA3">
        <w:t>did not conform to the applicable fire safety code</w:t>
      </w:r>
      <w:r w:rsidR="00C05504">
        <w:t xml:space="preserve"> </w:t>
      </w:r>
      <w:r w:rsidR="00171482">
        <w:t>and was therefore</w:t>
      </w:r>
      <w:r w:rsidR="00C05504">
        <w:t xml:space="preserve"> replaced with code-compliant paneling of a higher quality and cost</w:t>
      </w:r>
      <w:r w:rsidR="00A03464">
        <w:t>.</w:t>
      </w:r>
      <w:r w:rsidR="009F0403">
        <w:t xml:space="preserve"> The court held</w:t>
      </w:r>
      <w:r w:rsidR="004B59FB">
        <w:t xml:space="preserve"> that the hospital was not entitled to a windfall recovery</w:t>
      </w:r>
      <w:r w:rsidR="004B59FB" w:rsidRPr="006B24D4">
        <w:t xml:space="preserve"> </w:t>
      </w:r>
      <w:r w:rsidR="00544D8F">
        <w:t>“</w:t>
      </w:r>
      <w:r w:rsidR="004B59FB" w:rsidRPr="006B24D4">
        <w:t>in the form of the more expensive Micarta paneling and the extra labor costs required by its more difficult installation, merely because its architect initially failed to specify it.</w:t>
      </w:r>
      <w:r w:rsidR="00544D8F">
        <w:t>”</w:t>
      </w:r>
      <w:r w:rsidR="004B59FB" w:rsidRPr="006B24D4">
        <w:t xml:space="preserve"> </w:t>
      </w:r>
      <w:r w:rsidR="004B59FB" w:rsidRPr="00F57A40">
        <w:rPr>
          <w:i/>
          <w:iCs/>
        </w:rPr>
        <w:t>St. Joseph Hosp. v. Corbetta Const. Co</w:t>
      </w:r>
      <w:r w:rsidR="00F57A40">
        <w:t>.</w:t>
      </w:r>
      <w:r w:rsidR="004B59FB" w:rsidRPr="006B24D4">
        <w:t>, 316 N.E.2d 51, 62 (</w:t>
      </w:r>
      <w:r w:rsidR="009F4F8D">
        <w:t xml:space="preserve">Ill. App. Ct. </w:t>
      </w:r>
      <w:r w:rsidR="004B59FB" w:rsidRPr="006B24D4">
        <w:t>1974)</w:t>
      </w:r>
      <w:r w:rsidR="004B59FB">
        <w:t>.</w:t>
      </w:r>
      <w:r w:rsidR="00A03464">
        <w:t xml:space="preserve"> </w:t>
      </w:r>
      <w:r w:rsidR="00D93B50">
        <w:t>At the other extr</w:t>
      </w:r>
      <w:r w:rsidR="00EF3C1C">
        <w:t>eme, if the owner establishes a breach</w:t>
      </w:r>
      <w:r w:rsidR="00B83E79">
        <w:t xml:space="preserve"> so substantial as to defeat the object of the </w:t>
      </w:r>
      <w:r w:rsidR="00AB634A">
        <w:t>agreement,</w:t>
      </w:r>
      <w:r w:rsidR="00EF3C1C">
        <w:t xml:space="preserve"> </w:t>
      </w:r>
      <w:r w:rsidR="00F25C54">
        <w:t xml:space="preserve">the owner may have an equitable right to rescind the contract and be entitled to restitution </w:t>
      </w:r>
      <w:proofErr w:type="gramStart"/>
      <w:r w:rsidR="00F25C54">
        <w:t>of</w:t>
      </w:r>
      <w:proofErr w:type="gramEnd"/>
      <w:r w:rsidR="00F25C54">
        <w:t xml:space="preserve"> all payments made under the contract. </w:t>
      </w:r>
      <w:r w:rsidR="00AB634A">
        <w:t xml:space="preserve">See </w:t>
      </w:r>
      <w:r w:rsidR="00E46337" w:rsidRPr="00F57A40">
        <w:rPr>
          <w:i/>
          <w:iCs/>
        </w:rPr>
        <w:t>Lanier Home Ctr., Inc. v. Underwood</w:t>
      </w:r>
      <w:r w:rsidR="00E46337" w:rsidRPr="00FF1DE6">
        <w:t>, 557 S.E.2d 76, 78–79 (</w:t>
      </w:r>
      <w:r w:rsidR="00155DDA">
        <w:t xml:space="preserve">Ga. Ct. App. </w:t>
      </w:r>
      <w:r w:rsidR="00E46337" w:rsidRPr="00FF1DE6">
        <w:t>2001)</w:t>
      </w:r>
      <w:r w:rsidR="00E46337">
        <w:t xml:space="preserve"> (</w:t>
      </w:r>
      <w:r w:rsidR="0089760C">
        <w:t xml:space="preserve">home’s </w:t>
      </w:r>
      <w:r w:rsidR="00E46337">
        <w:t>septic system</w:t>
      </w:r>
      <w:r w:rsidR="0089760C">
        <w:t xml:space="preserve"> </w:t>
      </w:r>
      <w:r w:rsidR="004C70F5">
        <w:t>located on unsuitable soil).</w:t>
      </w:r>
      <w:r w:rsidR="001C324F">
        <w:t xml:space="preserve"> </w:t>
      </w:r>
    </w:p>
    <w:p w14:paraId="0BAF2920" w14:textId="7D1D6F15" w:rsidR="000D5BE0" w:rsidRDefault="006F16CF" w:rsidP="000D5BE0">
      <w:pPr>
        <w:spacing w:after="160" w:line="259" w:lineRule="auto"/>
        <w:ind w:firstLine="720"/>
      </w:pPr>
      <w:r>
        <w:t>When an o</w:t>
      </w:r>
      <w:r w:rsidR="000D5BE0">
        <w:t>wner</w:t>
      </w:r>
      <w:r>
        <w:t xml:space="preserve"> seeks to recover</w:t>
      </w:r>
      <w:r w:rsidR="00C954DE">
        <w:t xml:space="preserve"> delay</w:t>
      </w:r>
      <w:r>
        <w:t xml:space="preserve"> damages</w:t>
      </w:r>
      <w:r w:rsidR="00B742CF">
        <w:t>,</w:t>
      </w:r>
      <w:r w:rsidR="000D5BE0">
        <w:t xml:space="preserve"> </w:t>
      </w:r>
      <w:r w:rsidR="00EB6FB1">
        <w:t xml:space="preserve">even </w:t>
      </w:r>
      <w:r w:rsidR="000D5BE0">
        <w:t>more difficult questions</w:t>
      </w:r>
      <w:r w:rsidR="00B742CF">
        <w:t xml:space="preserve"> arise.</w:t>
      </w:r>
      <w:r w:rsidR="006B50B3">
        <w:t xml:space="preserve"> </w:t>
      </w:r>
      <w:r w:rsidR="007E3606">
        <w:t>See Phillip L. Bruner &amp; Patrick J. O’Connor, Jr.,</w:t>
      </w:r>
      <w:r w:rsidR="00D5327C">
        <w:t xml:space="preserve"> 7</w:t>
      </w:r>
      <w:r w:rsidR="007E3606">
        <w:t xml:space="preserve"> </w:t>
      </w:r>
      <w:r w:rsidR="007E3606" w:rsidRPr="001511CC">
        <w:rPr>
          <w:i/>
          <w:iCs/>
        </w:rPr>
        <w:t>Bruner &amp; O’Connor on Construction Law</w:t>
      </w:r>
      <w:r w:rsidR="007E3606">
        <w:t xml:space="preserve">, §§ </w:t>
      </w:r>
      <w:r w:rsidR="00D5327C">
        <w:lastRenderedPageBreak/>
        <w:t xml:space="preserve">19:86-19:91 </w:t>
      </w:r>
      <w:r w:rsidR="007E3606">
        <w:t>(Westlaw Nov. 2024).</w:t>
      </w:r>
      <w:r w:rsidR="00B742CF">
        <w:t xml:space="preserve"> </w:t>
      </w:r>
      <w:r w:rsidR="00A33BD5">
        <w:t>In such cases, owners may seek to recover lost profits, loss of use, extended construction financing costs, substitute facilities costs, and extended project administration.</w:t>
      </w:r>
      <w:r w:rsidR="006B50B3">
        <w:t xml:space="preserve"> </w:t>
      </w:r>
      <w:r w:rsidR="00850E07">
        <w:t>Such</w:t>
      </w:r>
      <w:r w:rsidR="00440FB7">
        <w:t xml:space="preserve"> damage claims are especially susceptible to the argument</w:t>
      </w:r>
      <w:r w:rsidR="0093168F">
        <w:t xml:space="preserve"> that</w:t>
      </w:r>
      <w:r w:rsidR="005B5798">
        <w:t xml:space="preserve"> </w:t>
      </w:r>
      <w:r w:rsidR="00C33FC0">
        <w:t>the</w:t>
      </w:r>
      <w:r w:rsidR="00440FB7">
        <w:t xml:space="preserve"> </w:t>
      </w:r>
      <w:r w:rsidR="005B5798">
        <w:t xml:space="preserve">owner’s damage evidence is too </w:t>
      </w:r>
      <w:r w:rsidR="0004699A">
        <w:t>speculative</w:t>
      </w:r>
      <w:r w:rsidR="00A50003">
        <w:t xml:space="preserve">. </w:t>
      </w:r>
      <w:r w:rsidR="002012D9">
        <w:t>A</w:t>
      </w:r>
      <w:r w:rsidR="0042741C">
        <w:t>nother common defense to a</w:t>
      </w:r>
      <w:r w:rsidR="00230D98">
        <w:t>n owner’s</w:t>
      </w:r>
      <w:r w:rsidR="0042741C">
        <w:t xml:space="preserve"> delay damage claim</w:t>
      </w:r>
      <w:r w:rsidR="00F95B64">
        <w:t xml:space="preserve"> may apply if the</w:t>
      </w:r>
      <w:r w:rsidR="002012D9">
        <w:t xml:space="preserve"> contract</w:t>
      </w:r>
      <w:r w:rsidR="00F95B64">
        <w:t xml:space="preserve"> includes a</w:t>
      </w:r>
      <w:r w:rsidR="002012D9">
        <w:t xml:space="preserve"> waiver of consequential</w:t>
      </w:r>
      <w:r w:rsidR="0085064A">
        <w:t xml:space="preserve"> damages, which is a common feature of construction contracts, </w:t>
      </w:r>
      <w:r w:rsidR="00134F9A">
        <w:t>albeit one that</w:t>
      </w:r>
      <w:r w:rsidR="00EA227C">
        <w:t xml:space="preserve"> may e</w:t>
      </w:r>
      <w:r w:rsidR="005D3A85">
        <w:t>ntangle the factfinder in the</w:t>
      </w:r>
      <w:r w:rsidR="00F42346">
        <w:t xml:space="preserve"> difficult</w:t>
      </w:r>
      <w:r w:rsidR="005D3A85">
        <w:t xml:space="preserve"> process of drawing a line between direct and consequential damages. </w:t>
      </w:r>
      <w:r w:rsidR="00120CFC">
        <w:t>Additionally, t</w:t>
      </w:r>
      <w:r w:rsidR="000D5BE0">
        <w:t>he</w:t>
      </w:r>
      <w:r w:rsidR="005D3A85">
        <w:t xml:space="preserve"> contracting</w:t>
      </w:r>
      <w:r w:rsidR="000D5BE0">
        <w:t xml:space="preserve"> parties sometimes</w:t>
      </w:r>
      <w:r w:rsidR="00775CE5">
        <w:t xml:space="preserve"> use</w:t>
      </w:r>
      <w:r w:rsidR="00CE5FFA">
        <w:t xml:space="preserve"> a</w:t>
      </w:r>
      <w:r w:rsidR="00775CE5">
        <w:t xml:space="preserve"> liquidated damages for</w:t>
      </w:r>
      <w:r w:rsidR="00CE5FFA">
        <w:t>mula</w:t>
      </w:r>
      <w:r w:rsidR="00775CE5">
        <w:t xml:space="preserve"> to simplify </w:t>
      </w:r>
      <w:r w:rsidR="00CE5FFA">
        <w:t>the delay</w:t>
      </w:r>
      <w:r w:rsidR="00775CE5">
        <w:t xml:space="preserve"> damage calculation</w:t>
      </w:r>
      <w:r w:rsidR="00CE5FFA">
        <w:t>,</w:t>
      </w:r>
      <w:r w:rsidR="00775CE5">
        <w:t xml:space="preserve"> but </w:t>
      </w:r>
      <w:r w:rsidR="001C5C35">
        <w:t>such provisions</w:t>
      </w:r>
      <w:r w:rsidR="00775CE5">
        <w:t xml:space="preserve"> can </w:t>
      </w:r>
      <w:r w:rsidR="001C5C35">
        <w:t>raise</w:t>
      </w:r>
      <w:r w:rsidR="00775CE5">
        <w:t xml:space="preserve"> questions of enforceability or </w:t>
      </w:r>
      <w:r w:rsidR="00460767">
        <w:t>disputes over</w:t>
      </w:r>
      <w:r w:rsidR="00775CE5">
        <w:t xml:space="preserve"> the length of the delay</w:t>
      </w:r>
      <w:r w:rsidR="00F773C3">
        <w:t>.</w:t>
      </w:r>
    </w:p>
    <w:p w14:paraId="640F89E1" w14:textId="298008A5" w:rsidR="00F71499" w:rsidRPr="00F71499" w:rsidRDefault="00F71499" w:rsidP="00F71499">
      <w:pPr>
        <w:spacing w:after="160" w:line="259" w:lineRule="auto"/>
        <w:rPr>
          <w:u w:val="single"/>
        </w:rPr>
      </w:pPr>
      <w:r w:rsidRPr="00F71499">
        <w:rPr>
          <w:u w:val="single"/>
        </w:rPr>
        <w:t>Damages incurred by building contractors</w:t>
      </w:r>
    </w:p>
    <w:p w14:paraId="48F961A9" w14:textId="4937FD0B" w:rsidR="00564770" w:rsidRDefault="004E441C" w:rsidP="000D5BE0">
      <w:pPr>
        <w:spacing w:after="160" w:line="259" w:lineRule="auto"/>
        <w:ind w:firstLine="720"/>
      </w:pPr>
      <w:r>
        <w:t>While</w:t>
      </w:r>
      <w:r w:rsidR="00227E92">
        <w:t xml:space="preserve"> </w:t>
      </w:r>
      <w:r w:rsidR="007A4EF6">
        <w:t xml:space="preserve">damage </w:t>
      </w:r>
      <w:r w:rsidR="00227E92">
        <w:t>claims by owners</w:t>
      </w:r>
      <w:r w:rsidR="00CE10DA">
        <w:t xml:space="preserve"> often</w:t>
      </w:r>
      <w:r w:rsidR="00227E92">
        <w:t xml:space="preserve"> </w:t>
      </w:r>
      <w:r w:rsidR="00F86388">
        <w:t xml:space="preserve">involve </w:t>
      </w:r>
      <w:r w:rsidR="00CE10DA">
        <w:t>serious</w:t>
      </w:r>
      <w:r w:rsidR="00C87268">
        <w:t xml:space="preserve"> </w:t>
      </w:r>
      <w:r w:rsidR="002D62E6">
        <w:t>complications,</w:t>
      </w:r>
      <w:r w:rsidR="00FE4A46">
        <w:t xml:space="preserve"> </w:t>
      </w:r>
      <w:r w:rsidR="00DA35A8">
        <w:t>contractors</w:t>
      </w:r>
      <w:r w:rsidR="00185D9C">
        <w:t>’</w:t>
      </w:r>
      <w:r w:rsidR="00FE4A46">
        <w:t xml:space="preserve"> breach of contract</w:t>
      </w:r>
      <w:r w:rsidR="00DA35A8">
        <w:t xml:space="preserve"> damage</w:t>
      </w:r>
      <w:r w:rsidR="00A326AC">
        <w:t xml:space="preserve"> claims</w:t>
      </w:r>
      <w:r w:rsidR="00DA35A8">
        <w:t xml:space="preserve"> </w:t>
      </w:r>
      <w:r w:rsidR="00185D9C">
        <w:t xml:space="preserve">present </w:t>
      </w:r>
      <w:r w:rsidR="006C1A1A">
        <w:t>some of the most complex problems</w:t>
      </w:r>
      <w:r w:rsidR="00964018">
        <w:t xml:space="preserve"> of all</w:t>
      </w:r>
      <w:r w:rsidR="007A4EF6">
        <w:t>.</w:t>
      </w:r>
      <w:r w:rsidR="00E13835">
        <w:t xml:space="preserve"> For that reason, th</w:t>
      </w:r>
      <w:r w:rsidR="00185D9C">
        <w:t>is</w:t>
      </w:r>
      <w:r w:rsidR="00E13835">
        <w:t xml:space="preserve"> lesson </w:t>
      </w:r>
      <w:r w:rsidR="009F0BD3">
        <w:t xml:space="preserve">affords detailed attention to </w:t>
      </w:r>
      <w:r w:rsidR="00FE0927">
        <w:t>these aspects of</w:t>
      </w:r>
      <w:r w:rsidR="007A4B30">
        <w:t xml:space="preserve"> </w:t>
      </w:r>
      <w:r w:rsidR="009F0BD3">
        <w:t>the law of damages</w:t>
      </w:r>
      <w:r w:rsidR="00CA29C3">
        <w:t xml:space="preserve">. Two reading assignments </w:t>
      </w:r>
      <w:r w:rsidR="004D53F9">
        <w:t>cover the most important considerations.</w:t>
      </w:r>
    </w:p>
    <w:p w14:paraId="55061288" w14:textId="53F31827" w:rsidR="00301CCE" w:rsidRPr="00301CCE" w:rsidRDefault="004D53F9" w:rsidP="00301CCE">
      <w:pPr>
        <w:spacing w:after="160" w:line="259" w:lineRule="auto"/>
        <w:ind w:firstLine="720"/>
      </w:pPr>
      <w:r>
        <w:t>Read</w:t>
      </w:r>
      <w:r w:rsidR="00CC49A7">
        <w:t xml:space="preserve"> Sections 19:92</w:t>
      </w:r>
      <w:r w:rsidR="00B574A4">
        <w:t>-</w:t>
      </w:r>
      <w:r w:rsidR="00CC49A7">
        <w:t xml:space="preserve">19:97 in volume 7 of </w:t>
      </w:r>
      <w:r w:rsidR="00CC49A7" w:rsidRPr="636C9287">
        <w:rPr>
          <w:i/>
          <w:iCs/>
        </w:rPr>
        <w:t>Bruner &amp; O’Connor on Construction Law</w:t>
      </w:r>
      <w:r w:rsidR="00CC49A7">
        <w:t xml:space="preserve"> (Westlaw Aug. 2023), by Phillip L. Bruner &amp; Patrick J. O’Connor, Jr.</w:t>
      </w:r>
      <w:r>
        <w:t xml:space="preserve"> </w:t>
      </w:r>
      <w:r w:rsidR="003C4AB1">
        <w:t xml:space="preserve">These sections of the Bruner and O’Connor treatise </w:t>
      </w:r>
      <w:r w:rsidR="00AB080B">
        <w:t>explain</w:t>
      </w:r>
      <w:r w:rsidR="008828CD">
        <w:t xml:space="preserve"> the basic</w:t>
      </w:r>
      <w:r w:rsidR="001E5389">
        <w:t xml:space="preserve"> principles</w:t>
      </w:r>
      <w:r w:rsidR="00241C87">
        <w:t xml:space="preserve"> </w:t>
      </w:r>
      <w:r w:rsidR="00277168">
        <w:t>governing a contractor’s damages for an owner’s breach</w:t>
      </w:r>
      <w:r w:rsidR="007C2192">
        <w:t>,</w:t>
      </w:r>
      <w:r w:rsidR="00A752F4">
        <w:t xml:space="preserve"> and </w:t>
      </w:r>
      <w:r w:rsidR="007C2192">
        <w:t xml:space="preserve">they </w:t>
      </w:r>
      <w:r w:rsidR="00A752F4">
        <w:t xml:space="preserve">introduce </w:t>
      </w:r>
      <w:r w:rsidR="009F2C44">
        <w:t xml:space="preserve">the practical problems contractors may face in proving </w:t>
      </w:r>
      <w:r w:rsidR="00737CD4">
        <w:t>discrete damage components</w:t>
      </w:r>
      <w:r w:rsidR="00277168">
        <w:t xml:space="preserve">. </w:t>
      </w:r>
      <w:r w:rsidR="0057497E">
        <w:t xml:space="preserve">These </w:t>
      </w:r>
      <w:r w:rsidR="00BA4CAC">
        <w:t>considerations</w:t>
      </w:r>
      <w:r w:rsidR="0057497E">
        <w:t xml:space="preserve"> apply not only to </w:t>
      </w:r>
      <w:r w:rsidR="00E66D1D">
        <w:t xml:space="preserve">an owner’s default in making payments </w:t>
      </w:r>
      <w:r w:rsidR="0064103A">
        <w:t>for work expressly covered by the contract, but also to disputes over changes and additional work</w:t>
      </w:r>
      <w:r w:rsidR="00A37B43">
        <w:t xml:space="preserve"> and for delays</w:t>
      </w:r>
      <w:r w:rsidR="00880E72">
        <w:t>,</w:t>
      </w:r>
      <w:r w:rsidR="00181212">
        <w:t xml:space="preserve"> </w:t>
      </w:r>
      <w:r w:rsidR="00B7621C">
        <w:t xml:space="preserve">suspensions, </w:t>
      </w:r>
      <w:r w:rsidR="00181212">
        <w:t>disruptions</w:t>
      </w:r>
      <w:r w:rsidR="00880E72">
        <w:t>, and interruptions</w:t>
      </w:r>
      <w:r w:rsidR="00692C20">
        <w:t xml:space="preserve"> to the progress of the work</w:t>
      </w:r>
      <w:r w:rsidR="00181212">
        <w:t xml:space="preserve"> for which the owner is responsible. </w:t>
      </w:r>
      <w:r w:rsidR="00EB4844">
        <w:t>Section 19:94</w:t>
      </w:r>
      <w:r w:rsidR="00A41EC1">
        <w:t xml:space="preserve"> </w:t>
      </w:r>
      <w:r w:rsidR="00AB080B">
        <w:t xml:space="preserve">covers </w:t>
      </w:r>
      <w:r w:rsidR="003B5E8F">
        <w:t xml:space="preserve">alternative methods </w:t>
      </w:r>
      <w:r w:rsidR="00C5581B">
        <w:t xml:space="preserve">for measuring the contractor’s damages when the </w:t>
      </w:r>
      <w:r w:rsidR="0016439F">
        <w:t xml:space="preserve">owner wrongfully terminates the contractor or when the </w:t>
      </w:r>
      <w:r w:rsidR="00C5581B">
        <w:t>owner’s material breach justifies the contract</w:t>
      </w:r>
      <w:r w:rsidR="00572793">
        <w:t>or’s</w:t>
      </w:r>
      <w:r w:rsidR="00C5581B">
        <w:t xml:space="preserve"> abandon</w:t>
      </w:r>
      <w:r w:rsidR="00572793">
        <w:t>ment</w:t>
      </w:r>
      <w:r w:rsidR="00C5581B">
        <w:t xml:space="preserve"> or repudiati</w:t>
      </w:r>
      <w:r w:rsidR="00572793">
        <w:t>on of</w:t>
      </w:r>
      <w:r w:rsidR="00C5581B">
        <w:t xml:space="preserve"> the contract.</w:t>
      </w:r>
      <w:r w:rsidR="00AB080B">
        <w:t xml:space="preserve"> </w:t>
      </w:r>
      <w:r w:rsidR="00A07E81">
        <w:t xml:space="preserve">Section 19:95 explains that even when the contractor </w:t>
      </w:r>
      <w:r w:rsidR="00F6503A">
        <w:t xml:space="preserve">wrongfully fails to complete the project, </w:t>
      </w:r>
      <w:r w:rsidR="000613C5">
        <w:t xml:space="preserve">the equitable principle of unjust enrichment may afford the contractor </w:t>
      </w:r>
      <w:r w:rsidR="00BD34A6">
        <w:t xml:space="preserve">a right </w:t>
      </w:r>
      <w:r w:rsidR="00A76A19">
        <w:t>“</w:t>
      </w:r>
      <w:r w:rsidR="00A76A19" w:rsidRPr="00A76A19">
        <w:t>to recover at least the reasonable value by which the work enhanced the value of the owner's property</w:t>
      </w:r>
      <w:r w:rsidR="00A76A19">
        <w:t>.”</w:t>
      </w:r>
      <w:r w:rsidR="00D82F41">
        <w:t xml:space="preserve"> Section 19:9</w:t>
      </w:r>
      <w:r w:rsidR="00877EE7">
        <w:t>6</w:t>
      </w:r>
      <w:r w:rsidR="00D82F41">
        <w:t xml:space="preserve"> </w:t>
      </w:r>
      <w:r w:rsidR="002F2B0B">
        <w:t>list</w:t>
      </w:r>
      <w:r w:rsidR="00BD34A6">
        <w:t>s</w:t>
      </w:r>
      <w:r w:rsidR="002F2B0B">
        <w:t xml:space="preserve"> </w:t>
      </w:r>
      <w:r w:rsidR="004347C1">
        <w:t xml:space="preserve">“building blocks” that may comprise a contractor’s </w:t>
      </w:r>
      <w:r w:rsidR="00D72E47">
        <w:t>compensatory damage claim.</w:t>
      </w:r>
    </w:p>
    <w:p w14:paraId="74705C8C" w14:textId="64970D64" w:rsidR="000C2A1B" w:rsidRPr="000C2A1B" w:rsidRDefault="00A47943" w:rsidP="000C2A1B">
      <w:pPr>
        <w:spacing w:after="160" w:line="259" w:lineRule="auto"/>
        <w:ind w:firstLine="720"/>
      </w:pPr>
      <w:r>
        <w:t>Section 19:97</w:t>
      </w:r>
      <w:r w:rsidR="001B4223">
        <w:t xml:space="preserve"> explains</w:t>
      </w:r>
      <w:r w:rsidR="008E7E2F">
        <w:t xml:space="preserve"> the </w:t>
      </w:r>
      <w:r w:rsidR="001A6B50">
        <w:t>judicial preference for</w:t>
      </w:r>
      <w:r w:rsidR="00A42828">
        <w:t xml:space="preserve"> </w:t>
      </w:r>
      <w:r w:rsidR="007C2672">
        <w:t xml:space="preserve">determining a contractor’s breach of contract damages by requiring the contractor to </w:t>
      </w:r>
      <w:r w:rsidR="00973396">
        <w:t>provide evidence of “segregated” or actual</w:t>
      </w:r>
      <w:r w:rsidR="0025463A">
        <w:t xml:space="preserve"> and</w:t>
      </w:r>
      <w:r w:rsidR="00CC6FA0">
        <w:t xml:space="preserve"> itemized</w:t>
      </w:r>
      <w:r w:rsidR="00973396">
        <w:t xml:space="preserve"> costs attributable to the breach. </w:t>
      </w:r>
      <w:r w:rsidR="001B4223">
        <w:t xml:space="preserve">As that section further notes, however, </w:t>
      </w:r>
      <w:r w:rsidR="00CE516B">
        <w:t>because this preferred method is not always feasible</w:t>
      </w:r>
      <w:r w:rsidR="000C2A1B">
        <w:t xml:space="preserve"> as a practical matter</w:t>
      </w:r>
      <w:r w:rsidR="00E514D5">
        <w:t>,</w:t>
      </w:r>
      <w:r w:rsidR="00F61AA7">
        <w:t xml:space="preserve"> </w:t>
      </w:r>
      <w:r w:rsidR="00902016">
        <w:t xml:space="preserve">the </w:t>
      </w:r>
      <w:r w:rsidR="00392D2A">
        <w:t>authorities</w:t>
      </w:r>
      <w:r w:rsidR="00902016">
        <w:t xml:space="preserve"> recognize that</w:t>
      </w:r>
      <w:r w:rsidR="000C2A1B" w:rsidRPr="000C2A1B">
        <w:t xml:space="preserve"> </w:t>
      </w:r>
      <w:r w:rsidR="00902016">
        <w:t>“</w:t>
      </w:r>
      <w:r w:rsidR="000C2A1B" w:rsidRPr="000C2A1B">
        <w:t>reasonable estimates supported by expert opinion or by “objective” formulas accepted by the construction industry and by courts may serve as a basis for proving damages.</w:t>
      </w:r>
      <w:r w:rsidR="00902016">
        <w:t>”</w:t>
      </w:r>
      <w:r w:rsidR="00B37681">
        <w:t xml:space="preserve"> In other words, where a contractor can prove </w:t>
      </w:r>
      <w:r w:rsidR="009D02B9">
        <w:t xml:space="preserve">that it incurred damages for which the owner should be responsible but cannot </w:t>
      </w:r>
      <w:r w:rsidR="00F327C6">
        <w:t xml:space="preserve">provide sufficient evidence to calculate those damages using the </w:t>
      </w:r>
      <w:r w:rsidR="00A37560">
        <w:t xml:space="preserve">actual </w:t>
      </w:r>
      <w:r w:rsidR="00F327C6">
        <w:t>cost method</w:t>
      </w:r>
      <w:r w:rsidR="00392D2A">
        <w:t>,</w:t>
      </w:r>
      <w:r w:rsidR="005F05FC">
        <w:t xml:space="preserve"> the law may </w:t>
      </w:r>
      <w:r w:rsidR="00E221D6">
        <w:t>permit</w:t>
      </w:r>
      <w:r w:rsidR="00F255F6">
        <w:t xml:space="preserve"> alternative measures of damages.</w:t>
      </w:r>
    </w:p>
    <w:p w14:paraId="77717CB9" w14:textId="592E0B18" w:rsidR="005C69E0" w:rsidRDefault="00902016" w:rsidP="000D5BE0">
      <w:pPr>
        <w:spacing w:after="160" w:line="259" w:lineRule="auto"/>
        <w:ind w:firstLine="720"/>
      </w:pPr>
      <w:r>
        <w:lastRenderedPageBreak/>
        <w:t>N</w:t>
      </w:r>
      <w:r w:rsidR="005C69E0">
        <w:t>ow read</w:t>
      </w:r>
      <w:r w:rsidR="007429F9" w:rsidRPr="00E3686B">
        <w:t xml:space="preserve"> </w:t>
      </w:r>
      <w:r w:rsidR="007429F9" w:rsidRPr="007429F9">
        <w:rPr>
          <w:i/>
          <w:iCs/>
        </w:rPr>
        <w:t xml:space="preserve">Measuring the Contractor's Damages by "Actual Costs"-Can It Be </w:t>
      </w:r>
      <w:proofErr w:type="gramStart"/>
      <w:r w:rsidR="007429F9" w:rsidRPr="007429F9">
        <w:rPr>
          <w:i/>
          <w:iCs/>
        </w:rPr>
        <w:t>Done?,</w:t>
      </w:r>
      <w:proofErr w:type="gramEnd"/>
      <w:r w:rsidR="007429F9" w:rsidRPr="007429F9">
        <w:rPr>
          <w:i/>
          <w:iCs/>
        </w:rPr>
        <w:t xml:space="preserve"> </w:t>
      </w:r>
      <w:r w:rsidR="00161031">
        <w:t xml:space="preserve">25 </w:t>
      </w:r>
      <w:r w:rsidR="007429F9" w:rsidRPr="00161031">
        <w:t>Constr. Law</w:t>
      </w:r>
      <w:r w:rsidR="007429F9" w:rsidRPr="00E3686B">
        <w:t xml:space="preserve">. </w:t>
      </w:r>
      <w:r w:rsidR="00474A6E">
        <w:t xml:space="preserve">31 </w:t>
      </w:r>
      <w:r w:rsidR="00161031">
        <w:t>(</w:t>
      </w:r>
      <w:r w:rsidR="007429F9" w:rsidRPr="00E3686B">
        <w:t>Winter 2005</w:t>
      </w:r>
      <w:r w:rsidR="00161031">
        <w:t xml:space="preserve">), by </w:t>
      </w:r>
      <w:r w:rsidR="00161031" w:rsidRPr="00E3686B">
        <w:t>Allen L. Overcash</w:t>
      </w:r>
      <w:r w:rsidR="00161031">
        <w:t xml:space="preserve"> &amp;</w:t>
      </w:r>
      <w:r w:rsidR="00161031" w:rsidRPr="00E3686B">
        <w:t xml:space="preserve"> Jack W. Harris</w:t>
      </w:r>
      <w:r w:rsidR="005C69E0">
        <w:t xml:space="preserve">. </w:t>
      </w:r>
      <w:r w:rsidR="00CC75D2">
        <w:t>(Because</w:t>
      </w:r>
      <w:r w:rsidR="00707A9D">
        <w:t xml:space="preserve"> some databases do not display</w:t>
      </w:r>
      <w:r w:rsidR="007A42B7">
        <w:t xml:space="preserve"> the</w:t>
      </w:r>
      <w:r w:rsidR="00A951B0">
        <w:t xml:space="preserve"> </w:t>
      </w:r>
      <w:r w:rsidR="00CC75D2">
        <w:t>graphic material</w:t>
      </w:r>
      <w:r w:rsidR="007A42B7">
        <w:t xml:space="preserve"> in this article</w:t>
      </w:r>
      <w:r w:rsidR="009E1214">
        <w:t>, you may wish to download</w:t>
      </w:r>
      <w:r w:rsidR="000430A3">
        <w:t xml:space="preserve"> a pdf version </w:t>
      </w:r>
      <w:r w:rsidR="009E1214">
        <w:t>from a</w:t>
      </w:r>
      <w:r w:rsidR="00BE78E9">
        <w:t xml:space="preserve"> source such as Hein</w:t>
      </w:r>
      <w:r w:rsidR="00FE6249">
        <w:t>O</w:t>
      </w:r>
      <w:r w:rsidR="00BE78E9">
        <w:t>nline</w:t>
      </w:r>
      <w:r w:rsidR="000430A3">
        <w:t>.</w:t>
      </w:r>
      <w:r w:rsidR="00866D3A">
        <w:t>)</w:t>
      </w:r>
      <w:r w:rsidR="00A951B0">
        <w:t xml:space="preserve"> </w:t>
      </w:r>
      <w:r w:rsidR="001B1816">
        <w:t>T</w:t>
      </w:r>
      <w:r w:rsidR="005C69E0">
        <w:t>his article</w:t>
      </w:r>
      <w:r w:rsidR="001B1816">
        <w:t xml:space="preserve"> is especially useful</w:t>
      </w:r>
      <w:r w:rsidR="002E3E13">
        <w:t xml:space="preserve"> (1)</w:t>
      </w:r>
      <w:r w:rsidR="001B1816">
        <w:t xml:space="preserve"> for </w:t>
      </w:r>
      <w:r w:rsidR="00FE20A2">
        <w:t xml:space="preserve">explaining </w:t>
      </w:r>
      <w:r w:rsidR="00550B19">
        <w:t>the</w:t>
      </w:r>
      <w:r w:rsidR="00C32761">
        <w:t xml:space="preserve"> accounting</w:t>
      </w:r>
      <w:r w:rsidR="00550B19">
        <w:t xml:space="preserve"> challenges</w:t>
      </w:r>
      <w:r w:rsidR="00C01930">
        <w:t xml:space="preserve"> </w:t>
      </w:r>
      <w:r w:rsidR="004A0355">
        <w:t>involved in</w:t>
      </w:r>
      <w:r w:rsidR="00C01930">
        <w:t xml:space="preserve"> proving </w:t>
      </w:r>
      <w:r w:rsidR="00486C14">
        <w:t>a contractor’s damages</w:t>
      </w:r>
      <w:r w:rsidR="00591911">
        <w:t xml:space="preserve"> </w:t>
      </w:r>
      <w:r w:rsidR="00E359C6">
        <w:t>and</w:t>
      </w:r>
      <w:r w:rsidR="006906E2">
        <w:t xml:space="preserve"> </w:t>
      </w:r>
      <w:r w:rsidR="002E3E13">
        <w:t xml:space="preserve">(2) </w:t>
      </w:r>
      <w:r w:rsidR="006906E2">
        <w:t>for its</w:t>
      </w:r>
      <w:r w:rsidR="005C69E0">
        <w:t xml:space="preserve"> </w:t>
      </w:r>
      <w:r w:rsidR="00733BD3">
        <w:t xml:space="preserve">review </w:t>
      </w:r>
      <w:r w:rsidR="00A37560">
        <w:t>of</w:t>
      </w:r>
      <w:r w:rsidR="00733BD3">
        <w:t xml:space="preserve"> </w:t>
      </w:r>
      <w:r w:rsidR="00F255F6">
        <w:t xml:space="preserve">alternatives to </w:t>
      </w:r>
      <w:r w:rsidR="00E41844">
        <w:t xml:space="preserve">the </w:t>
      </w:r>
      <w:r w:rsidR="00A37560">
        <w:t xml:space="preserve">actual cost </w:t>
      </w:r>
      <w:r w:rsidR="00E41844">
        <w:t xml:space="preserve">method for </w:t>
      </w:r>
      <w:r w:rsidR="00A37560">
        <w:t>measur</w:t>
      </w:r>
      <w:r w:rsidR="00E41844">
        <w:t>ing</w:t>
      </w:r>
      <w:r w:rsidR="00A37560">
        <w:t xml:space="preserve"> damages</w:t>
      </w:r>
      <w:r w:rsidR="00FF1321">
        <w:t>.</w:t>
      </w:r>
      <w:r w:rsidR="00E41844">
        <w:t xml:space="preserve"> </w:t>
      </w:r>
      <w:r w:rsidR="0085360B">
        <w:t>Pay close attention to the authors’</w:t>
      </w:r>
      <w:r w:rsidR="007B5D12">
        <w:t xml:space="preserve"> coverage </w:t>
      </w:r>
      <w:proofErr w:type="gramStart"/>
      <w:r w:rsidR="007B5D12">
        <w:t xml:space="preserve">of </w:t>
      </w:r>
      <w:r w:rsidR="003E116C">
        <w:t xml:space="preserve"> the</w:t>
      </w:r>
      <w:proofErr w:type="gramEnd"/>
      <w:r w:rsidR="003E116C">
        <w:t xml:space="preserve"> </w:t>
      </w:r>
      <w:r w:rsidR="007B5D12">
        <w:t>total cost</w:t>
      </w:r>
      <w:r w:rsidR="00B211E9">
        <w:t>, modified total cost,</w:t>
      </w:r>
      <w:r w:rsidR="006200C3">
        <w:t xml:space="preserve"> jury verdict, </w:t>
      </w:r>
      <w:r w:rsidR="003E116C">
        <w:t xml:space="preserve">and </w:t>
      </w:r>
      <w:r w:rsidR="006200C3">
        <w:t>measured mile</w:t>
      </w:r>
      <w:r w:rsidR="003E116C">
        <w:t xml:space="preserve"> alternatives</w:t>
      </w:r>
      <w:r w:rsidR="00774653">
        <w:t>, as well as</w:t>
      </w:r>
      <w:r w:rsidR="00FD2150">
        <w:t xml:space="preserve"> to their comments about the limitations of </w:t>
      </w:r>
      <w:r w:rsidR="00C93F2B">
        <w:t xml:space="preserve">expert </w:t>
      </w:r>
      <w:r w:rsidR="00FD2150">
        <w:t>opinion</w:t>
      </w:r>
      <w:r w:rsidR="00C93F2B">
        <w:t>s</w:t>
      </w:r>
      <w:r w:rsidR="001E6A33">
        <w:t>,</w:t>
      </w:r>
      <w:r w:rsidR="00C93F2B">
        <w:t xml:space="preserve"> industry studies</w:t>
      </w:r>
      <w:r w:rsidR="001E6A33">
        <w:t xml:space="preserve">, </w:t>
      </w:r>
      <w:r w:rsidR="007D790A">
        <w:t xml:space="preserve">and construction </w:t>
      </w:r>
      <w:r w:rsidR="001E6A33">
        <w:t>cost accounting practices</w:t>
      </w:r>
      <w:r w:rsidR="007B5D12">
        <w:t xml:space="preserve">. The article </w:t>
      </w:r>
      <w:r w:rsidR="0011616F">
        <w:t>concludes with</w:t>
      </w:r>
      <w:r w:rsidR="007B5D12">
        <w:t xml:space="preserve"> practical advice </w:t>
      </w:r>
      <w:r w:rsidR="007D790A">
        <w:t>to help</w:t>
      </w:r>
      <w:r w:rsidR="007B5D12">
        <w:t xml:space="preserve"> owners and contractors</w:t>
      </w:r>
      <w:r w:rsidR="0032716E">
        <w:t xml:space="preserve"> anticipate and manage </w:t>
      </w:r>
      <w:r w:rsidR="00E634CC">
        <w:t>the risks</w:t>
      </w:r>
      <w:r w:rsidR="008202D4">
        <w:t xml:space="preserve"> involved</w:t>
      </w:r>
      <w:r w:rsidR="007B5D12">
        <w:t>.</w:t>
      </w:r>
    </w:p>
    <w:p w14:paraId="4080228F" w14:textId="65E52EB2" w:rsidR="0017006B" w:rsidRDefault="008606AB" w:rsidP="000D5BE0">
      <w:pPr>
        <w:spacing w:after="160" w:line="259" w:lineRule="auto"/>
        <w:ind w:firstLine="720"/>
      </w:pPr>
      <w:r>
        <w:t>L</w:t>
      </w:r>
      <w:r w:rsidR="00075E73">
        <w:t>egion</w:t>
      </w:r>
      <w:r w:rsidR="00CD7B6A">
        <w:t xml:space="preserve">s of </w:t>
      </w:r>
      <w:r>
        <w:t xml:space="preserve">contractors’ breach of contract </w:t>
      </w:r>
      <w:r w:rsidR="00CD7B6A">
        <w:t>cases</w:t>
      </w:r>
      <w:r w:rsidR="00D35E11">
        <w:t xml:space="preserve"> document recurring </w:t>
      </w:r>
      <w:r w:rsidR="00B6047F">
        <w:t xml:space="preserve">problems of proof and </w:t>
      </w:r>
      <w:r>
        <w:t>debates</w:t>
      </w:r>
      <w:r w:rsidR="00D376D1">
        <w:t xml:space="preserve"> over acceptable </w:t>
      </w:r>
      <w:r w:rsidR="00B6047F">
        <w:t>measures of damages</w:t>
      </w:r>
      <w:r w:rsidR="001F2186">
        <w:t>.</w:t>
      </w:r>
      <w:r w:rsidR="003A5F4B">
        <w:t xml:space="preserve"> </w:t>
      </w:r>
      <w:r w:rsidR="003D22B4">
        <w:t>Read the</w:t>
      </w:r>
      <w:r w:rsidR="00896E5D">
        <w:t xml:space="preserve"> following</w:t>
      </w:r>
      <w:r w:rsidR="003D22B4">
        <w:t xml:space="preserve"> two cases</w:t>
      </w:r>
      <w:r w:rsidR="00001C32">
        <w:t xml:space="preserve">, which serve merely </w:t>
      </w:r>
      <w:r w:rsidR="003A5F4B">
        <w:t xml:space="preserve">to illustrate how litigators and courts </w:t>
      </w:r>
      <w:r w:rsidR="00DC6D35">
        <w:t xml:space="preserve">must often </w:t>
      </w:r>
      <w:r w:rsidR="003A5F4B">
        <w:t>struggle with these issues</w:t>
      </w:r>
      <w:r w:rsidR="00083B79">
        <w:t>:</w:t>
      </w:r>
    </w:p>
    <w:p w14:paraId="33927B40" w14:textId="557EFC5D" w:rsidR="00B35AC4" w:rsidRDefault="008B12F8" w:rsidP="00652D12">
      <w:pPr>
        <w:pStyle w:val="ListParagraph"/>
        <w:numPr>
          <w:ilvl w:val="0"/>
          <w:numId w:val="6"/>
        </w:numPr>
        <w:spacing w:after="160" w:line="259" w:lineRule="auto"/>
      </w:pPr>
      <w:r w:rsidRPr="00652D12">
        <w:rPr>
          <w:i/>
        </w:rPr>
        <w:t>New Pueblo Constructors, Inc. v. State</w:t>
      </w:r>
      <w:r w:rsidRPr="00D95113">
        <w:t>, 696 P.2d 185 (Ariz. 1985)</w:t>
      </w:r>
      <w:r>
        <w:t xml:space="preserve">. </w:t>
      </w:r>
      <w:r w:rsidR="001866BC">
        <w:t xml:space="preserve">This case </w:t>
      </w:r>
      <w:r w:rsidR="00107252">
        <w:t>deals with disputes over</w:t>
      </w:r>
      <w:r w:rsidR="00EB774D">
        <w:t xml:space="preserve"> </w:t>
      </w:r>
      <w:r w:rsidR="0091479C">
        <w:t>a contractual</w:t>
      </w:r>
      <w:r w:rsidR="00107252">
        <w:t xml:space="preserve"> </w:t>
      </w:r>
      <w:proofErr w:type="gramStart"/>
      <w:r w:rsidR="00107252">
        <w:t>claims</w:t>
      </w:r>
      <w:proofErr w:type="gramEnd"/>
      <w:r w:rsidR="00107252">
        <w:t xml:space="preserve"> procedure</w:t>
      </w:r>
      <w:r w:rsidR="009212C8">
        <w:t>,</w:t>
      </w:r>
      <w:r w:rsidR="00EB774D">
        <w:t xml:space="preserve"> </w:t>
      </w:r>
      <w:r w:rsidR="007B06F3">
        <w:t>alternative measures of damages</w:t>
      </w:r>
      <w:r w:rsidR="009212C8">
        <w:t xml:space="preserve">, </w:t>
      </w:r>
      <w:r w:rsidR="00475B6E">
        <w:t xml:space="preserve">liquidated damages, </w:t>
      </w:r>
      <w:r w:rsidR="009212C8">
        <w:t>and recovery of attorney</w:t>
      </w:r>
      <w:r w:rsidR="00730802">
        <w:t>’</w:t>
      </w:r>
      <w:r w:rsidR="009212C8">
        <w:t xml:space="preserve">s fees and </w:t>
      </w:r>
      <w:r w:rsidR="009205CA">
        <w:t>litigation e</w:t>
      </w:r>
      <w:r w:rsidR="009212C8">
        <w:t>xpenses</w:t>
      </w:r>
      <w:r w:rsidR="007B06F3">
        <w:t>.</w:t>
      </w:r>
      <w:r w:rsidR="00043BBE">
        <w:t xml:space="preserve"> </w:t>
      </w:r>
      <w:r w:rsidR="000D2C83">
        <w:t>Feel free to skip</w:t>
      </w:r>
      <w:r w:rsidR="00730457">
        <w:t xml:space="preserve"> </w:t>
      </w:r>
      <w:r w:rsidR="005A476A">
        <w:t>p</w:t>
      </w:r>
      <w:r w:rsidR="00730457">
        <w:t>art</w:t>
      </w:r>
      <w:r w:rsidR="005A476A">
        <w:t>s</w:t>
      </w:r>
      <w:r w:rsidR="00730457">
        <w:t xml:space="preserve"> IV</w:t>
      </w:r>
      <w:r w:rsidR="006F69EC">
        <w:t>-VI</w:t>
      </w:r>
      <w:r w:rsidR="00730457">
        <w:t xml:space="preserve"> of the opinion</w:t>
      </w:r>
      <w:r w:rsidR="000D2C83">
        <w:t xml:space="preserve">, which </w:t>
      </w:r>
      <w:r w:rsidR="006F69EC">
        <w:t>address</w:t>
      </w:r>
      <w:r w:rsidR="000D2C83">
        <w:t xml:space="preserve"> </w:t>
      </w:r>
      <w:r w:rsidR="000B1F63">
        <w:t xml:space="preserve">the proper interpretation of Arizona </w:t>
      </w:r>
      <w:r w:rsidR="006F69EC">
        <w:t>law</w:t>
      </w:r>
      <w:r w:rsidR="00730802">
        <w:t xml:space="preserve"> </w:t>
      </w:r>
      <w:r w:rsidR="006F69EC">
        <w:t>concerning</w:t>
      </w:r>
      <w:r w:rsidR="00730802">
        <w:t xml:space="preserve"> recovery of attorney’s fees and </w:t>
      </w:r>
      <w:r w:rsidR="009205CA">
        <w:t>expenses</w:t>
      </w:r>
      <w:r w:rsidR="00730802">
        <w:t>.</w:t>
      </w:r>
      <w:r w:rsidR="00730457">
        <w:t xml:space="preserve"> </w:t>
      </w:r>
    </w:p>
    <w:p w14:paraId="2E4D773D" w14:textId="77777777" w:rsidR="00F77097" w:rsidRDefault="00F77097" w:rsidP="00F77097">
      <w:pPr>
        <w:pStyle w:val="ListParagraph"/>
        <w:spacing w:after="160" w:line="259" w:lineRule="auto"/>
      </w:pPr>
    </w:p>
    <w:p w14:paraId="599B48D7" w14:textId="5713113A" w:rsidR="00D27DAE" w:rsidRDefault="00D27DAE" w:rsidP="00652D12">
      <w:pPr>
        <w:pStyle w:val="ListParagraph"/>
        <w:numPr>
          <w:ilvl w:val="0"/>
          <w:numId w:val="6"/>
        </w:numPr>
        <w:spacing w:after="160" w:line="259" w:lineRule="auto"/>
      </w:pPr>
      <w:r w:rsidRPr="00652D12">
        <w:rPr>
          <w:i/>
        </w:rPr>
        <w:t>C.B.C. Enterprises, Inc. v. United States</w:t>
      </w:r>
      <w:r w:rsidRPr="00D95113">
        <w:t>, 978 F.2d 669 (Fed. Cir. 1992)</w:t>
      </w:r>
      <w:r>
        <w:t xml:space="preserve">. </w:t>
      </w:r>
      <w:r w:rsidR="00FA0DF5">
        <w:t xml:space="preserve">Here, </w:t>
      </w:r>
      <w:r w:rsidR="00551AC6">
        <w:t>a</w:t>
      </w:r>
      <w:r w:rsidR="00FA0DF5">
        <w:t xml:space="preserve"> contractor </w:t>
      </w:r>
      <w:r w:rsidR="00551AC6">
        <w:t xml:space="preserve">on a federal project </w:t>
      </w:r>
      <w:r w:rsidR="00FA0DF5">
        <w:t>sought to recover “</w:t>
      </w:r>
      <w:r w:rsidR="00526F2B">
        <w:t xml:space="preserve">unabsorbed </w:t>
      </w:r>
      <w:r w:rsidR="00FA0DF5">
        <w:t>extended home office overhead</w:t>
      </w:r>
      <w:r w:rsidR="00BD1832">
        <w:t xml:space="preserve">,” </w:t>
      </w:r>
      <w:r w:rsidR="00D249EC">
        <w:t>a</w:t>
      </w:r>
      <w:r w:rsidR="00FB5F8B">
        <w:t xml:space="preserve"> potential damage component </w:t>
      </w:r>
      <w:r w:rsidR="00D249EC">
        <w:t xml:space="preserve">that can be especially </w:t>
      </w:r>
      <w:r w:rsidR="00BD1832">
        <w:t xml:space="preserve">difficult </w:t>
      </w:r>
      <w:r w:rsidR="00F83A31">
        <w:t xml:space="preserve">to </w:t>
      </w:r>
      <w:r w:rsidR="00367E3D">
        <w:t xml:space="preserve">prove. </w:t>
      </w:r>
      <w:r w:rsidR="000264B4">
        <w:t>The court refused to allow the contractor to resort t</w:t>
      </w:r>
      <w:r w:rsidR="00E94EC3">
        <w:t>o the Eichleay formula</w:t>
      </w:r>
      <w:r w:rsidR="00BD3683">
        <w:t xml:space="preserve">, a method established </w:t>
      </w:r>
      <w:r w:rsidR="00BE4035">
        <w:t>under</w:t>
      </w:r>
      <w:r w:rsidR="00BD3683">
        <w:t xml:space="preserve"> federal contract cases</w:t>
      </w:r>
      <w:r w:rsidR="00081348">
        <w:t xml:space="preserve"> to compensate the contractor for </w:t>
      </w:r>
      <w:r w:rsidR="001B1620">
        <w:t xml:space="preserve">certain costs incurred </w:t>
      </w:r>
      <w:r w:rsidR="006329F3">
        <w:t>during a</w:t>
      </w:r>
      <w:r w:rsidR="00B42BF6">
        <w:t xml:space="preserve"> government</w:t>
      </w:r>
      <w:r w:rsidR="006329F3">
        <w:t xml:space="preserve">-caused </w:t>
      </w:r>
      <w:r w:rsidR="003A4C13">
        <w:t xml:space="preserve">delay, disruption, or </w:t>
      </w:r>
      <w:r w:rsidR="006329F3">
        <w:t xml:space="preserve">suspension of </w:t>
      </w:r>
      <w:r w:rsidR="003A4C13">
        <w:t>work</w:t>
      </w:r>
      <w:r w:rsidR="00B6183D">
        <w:t>.</w:t>
      </w:r>
      <w:r w:rsidR="003D257A">
        <w:t xml:space="preserve"> (The formula takes its name from </w:t>
      </w:r>
      <w:r w:rsidR="003D257A" w:rsidRPr="00652D12">
        <w:rPr>
          <w:i/>
          <w:iCs/>
        </w:rPr>
        <w:t>Appeal of Eichleay Corp</w:t>
      </w:r>
      <w:r w:rsidR="003D257A" w:rsidRPr="00652D12">
        <w:rPr>
          <w:u w:val="single"/>
        </w:rPr>
        <w:t>.</w:t>
      </w:r>
      <w:r w:rsidR="003D257A" w:rsidRPr="009A7E8D">
        <w:t>, ASBCA No. 5183, 60-2 B.C.A. (CCH) ¶ 2688 (July 29, 1960)</w:t>
      </w:r>
      <w:r w:rsidR="003D257A">
        <w:t>.)</w:t>
      </w:r>
    </w:p>
    <w:p w14:paraId="2DE38BA9" w14:textId="77777777" w:rsidR="00A13547" w:rsidRDefault="00A13547" w:rsidP="00A13547">
      <w:r>
        <w:rPr>
          <w:u w:val="single"/>
        </w:rPr>
        <w:t>For Review and Discussion</w:t>
      </w:r>
    </w:p>
    <w:p w14:paraId="0D71A8B7" w14:textId="77777777" w:rsidR="00A13547" w:rsidRDefault="00A13547" w:rsidP="00A13547"/>
    <w:p w14:paraId="42B4D1DB" w14:textId="0501CDA4" w:rsidR="00A13547" w:rsidRDefault="006C47F6" w:rsidP="00A13547">
      <w:pPr>
        <w:pStyle w:val="ListParagraph"/>
        <w:numPr>
          <w:ilvl w:val="0"/>
          <w:numId w:val="4"/>
        </w:numPr>
        <w:spacing w:after="160" w:line="259" w:lineRule="auto"/>
      </w:pPr>
      <w:r>
        <w:t>What policies justify the judicial preference for the</w:t>
      </w:r>
      <w:r w:rsidR="009B635D">
        <w:t xml:space="preserve"> segregated or actual cost method? </w:t>
      </w:r>
    </w:p>
    <w:p w14:paraId="207F14E8" w14:textId="0860CDCA" w:rsidR="00A13547" w:rsidRDefault="00CF5F8C" w:rsidP="00A13547">
      <w:pPr>
        <w:pStyle w:val="ListParagraph"/>
        <w:numPr>
          <w:ilvl w:val="0"/>
          <w:numId w:val="4"/>
        </w:numPr>
        <w:spacing w:after="160" w:line="259" w:lineRule="auto"/>
      </w:pPr>
      <w:r>
        <w:t>Why might a contractor who has been wrongfully terminated</w:t>
      </w:r>
      <w:r w:rsidR="00AE1691">
        <w:t xml:space="preserve"> by the owner</w:t>
      </w:r>
      <w:r>
        <w:t xml:space="preserve"> </w:t>
      </w:r>
      <w:r w:rsidR="003D0EC7">
        <w:t>assert a right</w:t>
      </w:r>
      <w:r>
        <w:t xml:space="preserve"> to rescind the contract and s</w:t>
      </w:r>
      <w:r w:rsidR="001369FF">
        <w:t>eek recovery in quantum meruit</w:t>
      </w:r>
      <w:r w:rsidR="00156EE2">
        <w:t xml:space="preserve"> for the work completed </w:t>
      </w:r>
      <w:r w:rsidR="004C171F">
        <w:t>prior to the termination</w:t>
      </w:r>
      <w:r w:rsidR="006C385F">
        <w:t xml:space="preserve"> rather </w:t>
      </w:r>
      <w:r w:rsidR="00BC3764">
        <w:t xml:space="preserve">than </w:t>
      </w:r>
      <w:r w:rsidR="006C385F">
        <w:t>suing for breach of contract damages</w:t>
      </w:r>
      <w:r w:rsidR="001369FF">
        <w:t>?</w:t>
      </w:r>
      <w:r w:rsidR="004250FC">
        <w:t xml:space="preserve"> (</w:t>
      </w:r>
      <w:r w:rsidR="00CC4869">
        <w:t>Refer back to</w:t>
      </w:r>
      <w:r w:rsidR="00EB2561">
        <w:t xml:space="preserve"> Section 19:94 of the Bruner and O’Connor treatise.)</w:t>
      </w:r>
    </w:p>
    <w:p w14:paraId="44FB1B1E" w14:textId="50D557DB" w:rsidR="00BA6A41" w:rsidRPr="005064C5" w:rsidRDefault="00F93886" w:rsidP="005064C5">
      <w:pPr>
        <w:pStyle w:val="ListParagraph"/>
        <w:numPr>
          <w:ilvl w:val="0"/>
          <w:numId w:val="4"/>
        </w:numPr>
        <w:spacing w:after="160" w:line="259" w:lineRule="auto"/>
      </w:pPr>
      <w:r>
        <w:t>T</w:t>
      </w:r>
      <w:r w:rsidR="003B767A">
        <w:t>he</w:t>
      </w:r>
      <w:r w:rsidR="00B84C63">
        <w:t xml:space="preserve"> </w:t>
      </w:r>
      <w:r w:rsidR="00D876B7">
        <w:t>Eichleay formula</w:t>
      </w:r>
      <w:r w:rsidR="009F4180">
        <w:t xml:space="preserve"> </w:t>
      </w:r>
      <w:r w:rsidR="000B3358">
        <w:t>provides a method for calculating a</w:t>
      </w:r>
      <w:r w:rsidR="00492CB3">
        <w:t xml:space="preserve"> special category of </w:t>
      </w:r>
      <w:r w:rsidR="00071F8B">
        <w:t>indirect costs</w:t>
      </w:r>
      <w:r w:rsidR="00492CB3">
        <w:t xml:space="preserve"> that contractors may </w:t>
      </w:r>
      <w:r w:rsidR="00071F8B">
        <w:t>incur</w:t>
      </w:r>
      <w:r w:rsidR="0065104B">
        <w:t xml:space="preserve"> in connection with</w:t>
      </w:r>
      <w:r w:rsidR="00A408C2">
        <w:t xml:space="preserve"> delay, suspension or disruption for which the owner is responsible.</w:t>
      </w:r>
      <w:r w:rsidR="009F4180">
        <w:t xml:space="preserve"> </w:t>
      </w:r>
      <w:r w:rsidR="000938DC">
        <w:t>F</w:t>
      </w:r>
      <w:r w:rsidR="008F7E3B">
        <w:t>irst announced and applied in</w:t>
      </w:r>
      <w:r w:rsidR="009F4180">
        <w:t xml:space="preserve"> </w:t>
      </w:r>
      <w:r w:rsidR="00150EEF">
        <w:t>federal government cases</w:t>
      </w:r>
      <w:r w:rsidR="002F6717">
        <w:t xml:space="preserve"> and later embraced by</w:t>
      </w:r>
      <w:r w:rsidR="008F7E3B">
        <w:t xml:space="preserve"> some state courts</w:t>
      </w:r>
      <w:r w:rsidR="002F6717">
        <w:t>,</w:t>
      </w:r>
      <w:r w:rsidR="009740DC">
        <w:t xml:space="preserve"> the formula</w:t>
      </w:r>
      <w:r w:rsidR="002F6717">
        <w:t xml:space="preserve"> has long been </w:t>
      </w:r>
      <w:r w:rsidR="009C45BA">
        <w:t>controversial</w:t>
      </w:r>
      <w:r w:rsidR="009740DC">
        <w:t>.</w:t>
      </w:r>
      <w:r w:rsidR="00D7640B">
        <w:t xml:space="preserve"> See</w:t>
      </w:r>
      <w:r w:rsidR="001B3096">
        <w:t xml:space="preserve"> </w:t>
      </w:r>
      <w:r w:rsidR="00D7640B">
        <w:t>Phillip</w:t>
      </w:r>
      <w:r w:rsidR="00C57132">
        <w:t xml:space="preserve"> </w:t>
      </w:r>
      <w:r w:rsidR="00D7640B">
        <w:t>L.</w:t>
      </w:r>
      <w:r w:rsidR="00C57132">
        <w:t xml:space="preserve"> </w:t>
      </w:r>
      <w:r w:rsidR="00D7640B">
        <w:t xml:space="preserve">Bruner &amp; Patrick J. O’Connor, Jr., 7 </w:t>
      </w:r>
      <w:r w:rsidR="00D7640B" w:rsidRPr="001511CC">
        <w:rPr>
          <w:i/>
          <w:iCs/>
        </w:rPr>
        <w:t>Bruner &amp; O’Connor on Construction Law</w:t>
      </w:r>
      <w:r w:rsidR="00D7640B">
        <w:t xml:space="preserve">, § 19:108 (Westlaw Nov. 2024). </w:t>
      </w:r>
      <w:r w:rsidR="0054279F">
        <w:t xml:space="preserve">Supplemental information about </w:t>
      </w:r>
      <w:r w:rsidR="00667E56">
        <w:t xml:space="preserve">the Eichleay formula appears on the </w:t>
      </w:r>
      <w:r w:rsidR="0041796A">
        <w:t xml:space="preserve">last page of this lesson. Review that information and </w:t>
      </w:r>
      <w:r w:rsidR="00076B59">
        <w:t xml:space="preserve">answer the questions </w:t>
      </w:r>
      <w:r w:rsidR="0054279F">
        <w:t>at the end of that supplemental information.</w:t>
      </w:r>
    </w:p>
    <w:p w14:paraId="5CEF788C" w14:textId="14C42CE5" w:rsidR="00BC66B9" w:rsidRPr="009F122C" w:rsidRDefault="00BC66B9" w:rsidP="00BC66B9">
      <w:pPr>
        <w:rPr>
          <w:b/>
        </w:rPr>
      </w:pPr>
      <w:r>
        <w:rPr>
          <w:b/>
        </w:rPr>
        <w:lastRenderedPageBreak/>
        <w:t>Eichleay Formula</w:t>
      </w:r>
    </w:p>
    <w:p w14:paraId="69F07038" w14:textId="77777777" w:rsidR="00BC66B9" w:rsidRDefault="00BC66B9" w:rsidP="00BC66B9"/>
    <w:p w14:paraId="480DFA9F" w14:textId="77777777" w:rsidR="00BC66B9" w:rsidRDefault="00BC66B9" w:rsidP="00BC66B9">
      <w:r>
        <w:rPr>
          <w:u w:val="single"/>
        </w:rPr>
        <w:t>Eichleay Formula for computing “unabsorbed” home office overhead associated with delay, suspension, or disruption for which the owner is responsible</w:t>
      </w:r>
      <w:r>
        <w:t>.  The usual conditions for resort to the Eichleay formula: (1) contractor was obliged to remain on “standby” due to owner delay, suspension, or disruption and (2) the contractor had no reasonable opportunity to reduce overhead or obtain replacement work to cover ongoing overhead.</w:t>
      </w:r>
    </w:p>
    <w:p w14:paraId="5B547D47" w14:textId="77777777" w:rsidR="00BC66B9" w:rsidRDefault="00BC66B9" w:rsidP="00BC66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907"/>
        <w:gridCol w:w="1823"/>
        <w:gridCol w:w="1907"/>
        <w:gridCol w:w="1791"/>
      </w:tblGrid>
      <w:tr w:rsidR="00BC66B9" w:rsidRPr="00CF58C4" w14:paraId="5C6073DC" w14:textId="77777777" w:rsidTr="0026599D">
        <w:tc>
          <w:tcPr>
            <w:tcW w:w="1428" w:type="dxa"/>
            <w:shd w:val="clear" w:color="auto" w:fill="auto"/>
          </w:tcPr>
          <w:p w14:paraId="5356ECA0" w14:textId="77777777" w:rsidR="00BC66B9" w:rsidRDefault="00BC66B9" w:rsidP="0026599D">
            <w:r>
              <w:t>Step # 1</w:t>
            </w:r>
          </w:p>
        </w:tc>
        <w:tc>
          <w:tcPr>
            <w:tcW w:w="1907" w:type="dxa"/>
            <w:shd w:val="clear" w:color="auto" w:fill="auto"/>
          </w:tcPr>
          <w:p w14:paraId="48C09C2D" w14:textId="77777777" w:rsidR="00BC66B9" w:rsidRPr="00CF58C4" w:rsidRDefault="00BC66B9" w:rsidP="0026599D">
            <w:pPr>
              <w:rPr>
                <w:u w:val="single"/>
              </w:rPr>
            </w:pPr>
            <w:r>
              <w:t xml:space="preserve">Total Contract </w:t>
            </w:r>
            <w:r w:rsidRPr="00727C55">
              <w:t>Billings</w:t>
            </w:r>
            <w:r>
              <w:t xml:space="preserve"> (for the specific project before any adjustment for the delay)</w:t>
            </w:r>
            <w:r w:rsidRPr="00CF58C4">
              <w:rPr>
                <w:u w:val="single"/>
              </w:rPr>
              <w:t xml:space="preserve">  </w:t>
            </w:r>
          </w:p>
          <w:p w14:paraId="20345353" w14:textId="77777777" w:rsidR="00BC66B9" w:rsidRDefault="00BC66B9" w:rsidP="0026599D">
            <w:r w:rsidRPr="00CF58C4">
              <w:rPr>
                <w:u w:val="single"/>
              </w:rPr>
              <w:t xml:space="preserve">Divided by     </w:t>
            </w:r>
          </w:p>
          <w:p w14:paraId="126D5CFD" w14:textId="77777777" w:rsidR="00BC66B9" w:rsidRPr="00727C55" w:rsidRDefault="00BC66B9" w:rsidP="0026599D">
            <w:r>
              <w:t xml:space="preserve">Total Contractor Billings (all projects) for </w:t>
            </w:r>
            <w:r w:rsidRPr="00727C55">
              <w:t>Performance Period</w:t>
            </w:r>
          </w:p>
        </w:tc>
        <w:tc>
          <w:tcPr>
            <w:tcW w:w="1823" w:type="dxa"/>
            <w:shd w:val="clear" w:color="auto" w:fill="auto"/>
          </w:tcPr>
          <w:p w14:paraId="0895147B" w14:textId="77777777" w:rsidR="00BC66B9" w:rsidRDefault="00BC66B9" w:rsidP="0026599D"/>
          <w:p w14:paraId="5A3F597F" w14:textId="77777777" w:rsidR="00BC66B9" w:rsidRDefault="00BC66B9" w:rsidP="0026599D"/>
          <w:p w14:paraId="4B593A6C" w14:textId="77777777" w:rsidR="00BC66B9" w:rsidRDefault="00BC66B9" w:rsidP="0026599D"/>
          <w:p w14:paraId="3923208B" w14:textId="77777777" w:rsidR="00BC66B9" w:rsidRDefault="00BC66B9" w:rsidP="0026599D"/>
          <w:p w14:paraId="13A45023" w14:textId="77777777" w:rsidR="00BC66B9" w:rsidRDefault="00BC66B9" w:rsidP="0026599D">
            <w:r>
              <w:t>Multiplied</w:t>
            </w:r>
          </w:p>
          <w:p w14:paraId="21A307D0" w14:textId="77777777" w:rsidR="00BC66B9" w:rsidRPr="00727C55" w:rsidRDefault="00BC66B9" w:rsidP="0026599D">
            <w:r>
              <w:t>Times</w:t>
            </w:r>
          </w:p>
        </w:tc>
        <w:tc>
          <w:tcPr>
            <w:tcW w:w="1907" w:type="dxa"/>
            <w:shd w:val="clear" w:color="auto" w:fill="auto"/>
          </w:tcPr>
          <w:p w14:paraId="066F79C7" w14:textId="77777777" w:rsidR="00BC66B9" w:rsidRDefault="00BC66B9" w:rsidP="0026599D"/>
          <w:p w14:paraId="7D9F7825" w14:textId="77777777" w:rsidR="00BC66B9" w:rsidRDefault="00BC66B9" w:rsidP="0026599D"/>
          <w:p w14:paraId="69D10DC3" w14:textId="77777777" w:rsidR="00BC66B9" w:rsidRPr="00727C55" w:rsidRDefault="00BC66B9" w:rsidP="0026599D">
            <w:r>
              <w:t>Total Home Office Overhead Incurred During Performance Period</w:t>
            </w:r>
          </w:p>
        </w:tc>
        <w:tc>
          <w:tcPr>
            <w:tcW w:w="1791" w:type="dxa"/>
            <w:shd w:val="clear" w:color="auto" w:fill="auto"/>
          </w:tcPr>
          <w:p w14:paraId="1409E874" w14:textId="77777777" w:rsidR="00BC66B9" w:rsidRDefault="00BC66B9" w:rsidP="0026599D"/>
          <w:p w14:paraId="5B277238" w14:textId="77777777" w:rsidR="00BC66B9" w:rsidRDefault="00BC66B9" w:rsidP="0026599D"/>
          <w:p w14:paraId="1355C482" w14:textId="77777777" w:rsidR="00BC66B9" w:rsidRPr="00727C55" w:rsidRDefault="00BC66B9" w:rsidP="0026599D">
            <w:r>
              <w:t>Equals Overhead Allocable to Contract</w:t>
            </w:r>
          </w:p>
        </w:tc>
      </w:tr>
      <w:tr w:rsidR="00BC66B9" w:rsidRPr="00CF58C4" w14:paraId="591B6F99" w14:textId="77777777" w:rsidTr="0026599D">
        <w:tc>
          <w:tcPr>
            <w:tcW w:w="1428" w:type="dxa"/>
            <w:shd w:val="clear" w:color="auto" w:fill="auto"/>
          </w:tcPr>
          <w:p w14:paraId="7B49A772" w14:textId="77777777" w:rsidR="00BC66B9" w:rsidRPr="00CF58C4" w:rsidRDefault="00BC66B9" w:rsidP="0026599D">
            <w:pPr>
              <w:rPr>
                <w:u w:val="single"/>
              </w:rPr>
            </w:pPr>
          </w:p>
        </w:tc>
        <w:tc>
          <w:tcPr>
            <w:tcW w:w="1907" w:type="dxa"/>
            <w:shd w:val="clear" w:color="auto" w:fill="auto"/>
          </w:tcPr>
          <w:p w14:paraId="53A9A92A" w14:textId="77777777" w:rsidR="00BC66B9" w:rsidRPr="00CF58C4" w:rsidRDefault="00BC66B9" w:rsidP="0026599D">
            <w:pPr>
              <w:rPr>
                <w:u w:val="single"/>
              </w:rPr>
            </w:pPr>
          </w:p>
        </w:tc>
        <w:tc>
          <w:tcPr>
            <w:tcW w:w="1823" w:type="dxa"/>
            <w:shd w:val="clear" w:color="auto" w:fill="auto"/>
          </w:tcPr>
          <w:p w14:paraId="2ECB87B3" w14:textId="77777777" w:rsidR="00BC66B9" w:rsidRPr="00CF58C4" w:rsidRDefault="00BC66B9" w:rsidP="0026599D">
            <w:pPr>
              <w:rPr>
                <w:u w:val="single"/>
              </w:rPr>
            </w:pPr>
          </w:p>
        </w:tc>
        <w:tc>
          <w:tcPr>
            <w:tcW w:w="1907" w:type="dxa"/>
            <w:shd w:val="clear" w:color="auto" w:fill="auto"/>
          </w:tcPr>
          <w:p w14:paraId="5121B6E4" w14:textId="77777777" w:rsidR="00BC66B9" w:rsidRPr="00CF58C4" w:rsidRDefault="00BC66B9" w:rsidP="0026599D">
            <w:pPr>
              <w:rPr>
                <w:u w:val="single"/>
              </w:rPr>
            </w:pPr>
          </w:p>
        </w:tc>
        <w:tc>
          <w:tcPr>
            <w:tcW w:w="1791" w:type="dxa"/>
            <w:shd w:val="clear" w:color="auto" w:fill="auto"/>
          </w:tcPr>
          <w:p w14:paraId="15723301" w14:textId="77777777" w:rsidR="00BC66B9" w:rsidRPr="00CF58C4" w:rsidRDefault="00BC66B9" w:rsidP="0026599D">
            <w:pPr>
              <w:rPr>
                <w:u w:val="single"/>
              </w:rPr>
            </w:pPr>
          </w:p>
        </w:tc>
      </w:tr>
      <w:tr w:rsidR="00BC66B9" w:rsidRPr="00CF58C4" w14:paraId="0533E9E4" w14:textId="77777777" w:rsidTr="0026599D">
        <w:tc>
          <w:tcPr>
            <w:tcW w:w="1428" w:type="dxa"/>
            <w:shd w:val="clear" w:color="auto" w:fill="auto"/>
          </w:tcPr>
          <w:p w14:paraId="0C95304E" w14:textId="77777777" w:rsidR="00BC66B9" w:rsidRPr="00727C55" w:rsidRDefault="00BC66B9" w:rsidP="0026599D">
            <w:r>
              <w:t>Step # 2</w:t>
            </w:r>
          </w:p>
        </w:tc>
        <w:tc>
          <w:tcPr>
            <w:tcW w:w="1907" w:type="dxa"/>
            <w:shd w:val="clear" w:color="auto" w:fill="auto"/>
          </w:tcPr>
          <w:p w14:paraId="526ACD24" w14:textId="77777777" w:rsidR="00BC66B9" w:rsidRDefault="00BC66B9" w:rsidP="0026599D">
            <w:r>
              <w:t>Home Office Overhead Allocable to Contract</w:t>
            </w:r>
          </w:p>
          <w:p w14:paraId="664CCFBE" w14:textId="77777777" w:rsidR="00BC66B9" w:rsidRDefault="00BC66B9" w:rsidP="0026599D">
            <w:r w:rsidRPr="00CF58C4">
              <w:rPr>
                <w:u w:val="single"/>
              </w:rPr>
              <w:t>Divided by</w:t>
            </w:r>
          </w:p>
          <w:p w14:paraId="2BCA9AEB" w14:textId="77777777" w:rsidR="00BC66B9" w:rsidRPr="00465A64" w:rsidRDefault="00BC66B9" w:rsidP="0026599D">
            <w:r>
              <w:t># of Days of Contract Performance</w:t>
            </w:r>
          </w:p>
        </w:tc>
        <w:tc>
          <w:tcPr>
            <w:tcW w:w="1823" w:type="dxa"/>
            <w:shd w:val="clear" w:color="auto" w:fill="auto"/>
          </w:tcPr>
          <w:p w14:paraId="16A5FC9F" w14:textId="77777777" w:rsidR="00BC66B9" w:rsidRPr="00465A64" w:rsidRDefault="00BC66B9" w:rsidP="0026599D"/>
        </w:tc>
        <w:tc>
          <w:tcPr>
            <w:tcW w:w="1907" w:type="dxa"/>
            <w:shd w:val="clear" w:color="auto" w:fill="auto"/>
          </w:tcPr>
          <w:p w14:paraId="78D90BAB" w14:textId="77777777" w:rsidR="00BC66B9" w:rsidRPr="00465A64" w:rsidRDefault="00BC66B9" w:rsidP="0026599D"/>
        </w:tc>
        <w:tc>
          <w:tcPr>
            <w:tcW w:w="1791" w:type="dxa"/>
            <w:shd w:val="clear" w:color="auto" w:fill="auto"/>
          </w:tcPr>
          <w:p w14:paraId="39A189E5" w14:textId="77777777" w:rsidR="00BC66B9" w:rsidRPr="00465A64" w:rsidRDefault="00BC66B9" w:rsidP="0026599D">
            <w:r>
              <w:t>Equals “Daily Contract Overhead”</w:t>
            </w:r>
          </w:p>
        </w:tc>
      </w:tr>
      <w:tr w:rsidR="00BC66B9" w:rsidRPr="00CF58C4" w14:paraId="086E6C5D" w14:textId="77777777" w:rsidTr="0026599D">
        <w:tc>
          <w:tcPr>
            <w:tcW w:w="1428" w:type="dxa"/>
            <w:shd w:val="clear" w:color="auto" w:fill="auto"/>
          </w:tcPr>
          <w:p w14:paraId="33A07F2F" w14:textId="77777777" w:rsidR="00BC66B9" w:rsidRPr="00CF58C4" w:rsidRDefault="00BC66B9" w:rsidP="0026599D">
            <w:pPr>
              <w:rPr>
                <w:u w:val="single"/>
              </w:rPr>
            </w:pPr>
          </w:p>
        </w:tc>
        <w:tc>
          <w:tcPr>
            <w:tcW w:w="1907" w:type="dxa"/>
            <w:shd w:val="clear" w:color="auto" w:fill="auto"/>
          </w:tcPr>
          <w:p w14:paraId="2F3C001F" w14:textId="77777777" w:rsidR="00BC66B9" w:rsidRPr="00CF58C4" w:rsidRDefault="00BC66B9" w:rsidP="0026599D">
            <w:pPr>
              <w:rPr>
                <w:u w:val="single"/>
              </w:rPr>
            </w:pPr>
          </w:p>
        </w:tc>
        <w:tc>
          <w:tcPr>
            <w:tcW w:w="1823" w:type="dxa"/>
            <w:shd w:val="clear" w:color="auto" w:fill="auto"/>
          </w:tcPr>
          <w:p w14:paraId="2BDD7B22" w14:textId="77777777" w:rsidR="00BC66B9" w:rsidRPr="00CF58C4" w:rsidRDefault="00BC66B9" w:rsidP="0026599D">
            <w:pPr>
              <w:rPr>
                <w:u w:val="single"/>
              </w:rPr>
            </w:pPr>
          </w:p>
        </w:tc>
        <w:tc>
          <w:tcPr>
            <w:tcW w:w="1907" w:type="dxa"/>
            <w:shd w:val="clear" w:color="auto" w:fill="auto"/>
          </w:tcPr>
          <w:p w14:paraId="6AC980F8" w14:textId="77777777" w:rsidR="00BC66B9" w:rsidRPr="00CF58C4" w:rsidRDefault="00BC66B9" w:rsidP="0026599D">
            <w:pPr>
              <w:rPr>
                <w:u w:val="single"/>
              </w:rPr>
            </w:pPr>
          </w:p>
        </w:tc>
        <w:tc>
          <w:tcPr>
            <w:tcW w:w="1791" w:type="dxa"/>
            <w:shd w:val="clear" w:color="auto" w:fill="auto"/>
          </w:tcPr>
          <w:p w14:paraId="4F659E15" w14:textId="77777777" w:rsidR="00BC66B9" w:rsidRPr="00CF58C4" w:rsidRDefault="00BC66B9" w:rsidP="0026599D">
            <w:pPr>
              <w:rPr>
                <w:u w:val="single"/>
              </w:rPr>
            </w:pPr>
          </w:p>
        </w:tc>
      </w:tr>
      <w:tr w:rsidR="00BC66B9" w:rsidRPr="00CF58C4" w14:paraId="4DBD3E13" w14:textId="77777777" w:rsidTr="0026599D">
        <w:tc>
          <w:tcPr>
            <w:tcW w:w="1428" w:type="dxa"/>
            <w:shd w:val="clear" w:color="auto" w:fill="auto"/>
          </w:tcPr>
          <w:p w14:paraId="0F3FF25F" w14:textId="77777777" w:rsidR="00BC66B9" w:rsidRPr="00465A64" w:rsidRDefault="00BC66B9" w:rsidP="0026599D">
            <w:r>
              <w:t>Step # 3</w:t>
            </w:r>
          </w:p>
        </w:tc>
        <w:tc>
          <w:tcPr>
            <w:tcW w:w="1907" w:type="dxa"/>
            <w:shd w:val="clear" w:color="auto" w:fill="auto"/>
          </w:tcPr>
          <w:p w14:paraId="2341DE09" w14:textId="77777777" w:rsidR="00BC66B9" w:rsidRDefault="00BC66B9" w:rsidP="0026599D"/>
          <w:p w14:paraId="30EFC99A" w14:textId="77777777" w:rsidR="00BC66B9" w:rsidRPr="00465A64" w:rsidRDefault="00BC66B9" w:rsidP="0026599D">
            <w:r w:rsidRPr="00465A64">
              <w:t>Daily Contract Overhead</w:t>
            </w:r>
          </w:p>
        </w:tc>
        <w:tc>
          <w:tcPr>
            <w:tcW w:w="1823" w:type="dxa"/>
            <w:shd w:val="clear" w:color="auto" w:fill="auto"/>
          </w:tcPr>
          <w:p w14:paraId="7A15D39C" w14:textId="77777777" w:rsidR="00BC66B9" w:rsidRDefault="00BC66B9" w:rsidP="0026599D"/>
          <w:p w14:paraId="3264107E" w14:textId="77777777" w:rsidR="00BC66B9" w:rsidRPr="00465A64" w:rsidRDefault="00BC66B9" w:rsidP="0026599D">
            <w:r>
              <w:t>Multiplied Times</w:t>
            </w:r>
          </w:p>
        </w:tc>
        <w:tc>
          <w:tcPr>
            <w:tcW w:w="1907" w:type="dxa"/>
            <w:shd w:val="clear" w:color="auto" w:fill="auto"/>
          </w:tcPr>
          <w:p w14:paraId="43D97F53" w14:textId="77777777" w:rsidR="00BC66B9" w:rsidRPr="00465A64" w:rsidRDefault="00BC66B9" w:rsidP="0026599D">
            <w:r w:rsidRPr="00465A64">
              <w:t>Number of Days of Compensable Delay</w:t>
            </w:r>
            <w:r>
              <w:t xml:space="preserve"> </w:t>
            </w:r>
          </w:p>
        </w:tc>
        <w:tc>
          <w:tcPr>
            <w:tcW w:w="1791" w:type="dxa"/>
            <w:shd w:val="clear" w:color="auto" w:fill="auto"/>
          </w:tcPr>
          <w:p w14:paraId="09F66CEC" w14:textId="77777777" w:rsidR="00BC66B9" w:rsidRPr="00465A64" w:rsidRDefault="00BC66B9" w:rsidP="0026599D">
            <w:r>
              <w:t>Equals Unabsorbed Home Office Overhead</w:t>
            </w:r>
          </w:p>
        </w:tc>
      </w:tr>
    </w:tbl>
    <w:p w14:paraId="70033C69" w14:textId="77777777" w:rsidR="00BC66B9" w:rsidRDefault="00BC66B9" w:rsidP="00BC66B9"/>
    <w:p w14:paraId="47317C5C" w14:textId="7D1A10ED" w:rsidR="00BC66B9" w:rsidRDefault="00BC66B9" w:rsidP="00BC66B9">
      <w:bookmarkStart w:id="0" w:name="_Hlk64878628"/>
      <w:r>
        <w:t>Assume that a project owner, for its own convenience, orders a 10-day suspension of work on a project for which the original contract provides for a $200,000 contract price and a 50-day completion schedule.  Assume that the contractor’s home office overhead expenses for the fiscal year equal $100,000 and that the total value of the contractor’s contracts over that year equals $1,000,000.  Using this information and the Eichleay formula, what additional compensation is due to the contractor for unabsorbed home office overhead as the result of the 10-day suspension (during which the contractor was forced to be on standby with no reasonable opportunity to reduce overhead or obtain other work that might “absorb” any of the overhead during the suspension)?</w:t>
      </w:r>
      <w:bookmarkEnd w:id="0"/>
    </w:p>
    <w:p w14:paraId="6C674419" w14:textId="77777777" w:rsidR="003B604D" w:rsidRPr="003B604D" w:rsidRDefault="003B604D" w:rsidP="00BF1D47">
      <w:pPr>
        <w:spacing w:after="160" w:line="259" w:lineRule="auto"/>
      </w:pPr>
    </w:p>
    <w:sectPr w:rsidR="003B604D" w:rsidRPr="003B604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9BFDE" w14:textId="77777777" w:rsidR="008D1E95" w:rsidRDefault="008D1E95" w:rsidP="007C726E">
      <w:r>
        <w:separator/>
      </w:r>
    </w:p>
  </w:endnote>
  <w:endnote w:type="continuationSeparator" w:id="0">
    <w:p w14:paraId="2F0E96CA" w14:textId="77777777" w:rsidR="008D1E95" w:rsidRDefault="008D1E95" w:rsidP="007C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832609"/>
      <w:docPartObj>
        <w:docPartGallery w:val="Page Numbers (Bottom of Page)"/>
        <w:docPartUnique/>
      </w:docPartObj>
    </w:sdtPr>
    <w:sdtEndPr>
      <w:rPr>
        <w:noProof/>
      </w:rPr>
    </w:sdtEndPr>
    <w:sdtContent>
      <w:p w14:paraId="59210290" w14:textId="38A67CF3" w:rsidR="00CD76D2" w:rsidRDefault="00CD76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0CB924" w14:textId="333D7E3F" w:rsidR="007C726E" w:rsidRDefault="007C7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5E4D3" w14:textId="77777777" w:rsidR="008D1E95" w:rsidRDefault="008D1E95" w:rsidP="007C726E">
      <w:r>
        <w:separator/>
      </w:r>
    </w:p>
  </w:footnote>
  <w:footnote w:type="continuationSeparator" w:id="0">
    <w:p w14:paraId="01AAB64A" w14:textId="77777777" w:rsidR="008D1E95" w:rsidRDefault="008D1E95" w:rsidP="007C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0370F" w14:textId="2A299A92" w:rsidR="007C726E" w:rsidRDefault="007C726E">
    <w:pPr>
      <w:pStyle w:val="Header"/>
    </w:pPr>
    <w:r>
      <w:t xml:space="preserve">Work-in-progress, </w:t>
    </w:r>
    <w:r w:rsidR="002E67D2">
      <w:t>November</w:t>
    </w:r>
    <w:r>
      <w:t xml:space="preserve"> 2024</w:t>
    </w:r>
  </w:p>
  <w:p w14:paraId="4032C77E" w14:textId="42B42CFC" w:rsidR="007C726E" w:rsidRDefault="007B68CF" w:rsidP="007B68CF">
    <w:pPr>
      <w:pStyle w:val="Header"/>
      <w:tabs>
        <w:tab w:val="clear" w:pos="4680"/>
        <w:tab w:val="clear" w:pos="9360"/>
        <w:tab w:val="left" w:pos="20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E59F7"/>
    <w:multiLevelType w:val="hybridMultilevel"/>
    <w:tmpl w:val="5348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76D35"/>
    <w:multiLevelType w:val="hybridMultilevel"/>
    <w:tmpl w:val="B33C8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278CB"/>
    <w:multiLevelType w:val="hybridMultilevel"/>
    <w:tmpl w:val="2DBA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B53F9B"/>
    <w:multiLevelType w:val="hybridMultilevel"/>
    <w:tmpl w:val="28A6DFFC"/>
    <w:lvl w:ilvl="0" w:tplc="32A2BB62">
      <w:start w:val="1"/>
      <w:numFmt w:val="bullet"/>
      <w:lvlText w:val=""/>
      <w:lvlJc w:val="left"/>
      <w:pPr>
        <w:tabs>
          <w:tab w:val="num" w:pos="360"/>
        </w:tabs>
        <w:ind w:left="360" w:hanging="288"/>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CB593A"/>
    <w:multiLevelType w:val="hybridMultilevel"/>
    <w:tmpl w:val="83248CDE"/>
    <w:lvl w:ilvl="0" w:tplc="81F2C6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3C3335"/>
    <w:multiLevelType w:val="hybridMultilevel"/>
    <w:tmpl w:val="5896D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522776">
    <w:abstractNumId w:val="3"/>
  </w:num>
  <w:num w:numId="2" w16cid:durableId="1768116626">
    <w:abstractNumId w:val="0"/>
  </w:num>
  <w:num w:numId="3" w16cid:durableId="735053428">
    <w:abstractNumId w:val="1"/>
  </w:num>
  <w:num w:numId="4" w16cid:durableId="556356856">
    <w:abstractNumId w:val="5"/>
  </w:num>
  <w:num w:numId="5" w16cid:durableId="1766072535">
    <w:abstractNumId w:val="4"/>
  </w:num>
  <w:num w:numId="6" w16cid:durableId="1578632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6E"/>
    <w:rsid w:val="00001955"/>
    <w:rsid w:val="00001C32"/>
    <w:rsid w:val="00002814"/>
    <w:rsid w:val="00002CD4"/>
    <w:rsid w:val="000066E7"/>
    <w:rsid w:val="000103A6"/>
    <w:rsid w:val="0001092B"/>
    <w:rsid w:val="00011BB9"/>
    <w:rsid w:val="00014F7B"/>
    <w:rsid w:val="00015FCE"/>
    <w:rsid w:val="00016CEE"/>
    <w:rsid w:val="0002228C"/>
    <w:rsid w:val="000264B4"/>
    <w:rsid w:val="000275AE"/>
    <w:rsid w:val="000275EF"/>
    <w:rsid w:val="00027B84"/>
    <w:rsid w:val="0003267D"/>
    <w:rsid w:val="00032F62"/>
    <w:rsid w:val="0003650A"/>
    <w:rsid w:val="000375F0"/>
    <w:rsid w:val="00041522"/>
    <w:rsid w:val="0004208A"/>
    <w:rsid w:val="000430A3"/>
    <w:rsid w:val="00043BBE"/>
    <w:rsid w:val="0004699A"/>
    <w:rsid w:val="000510B3"/>
    <w:rsid w:val="0005305E"/>
    <w:rsid w:val="00056231"/>
    <w:rsid w:val="0005683D"/>
    <w:rsid w:val="00057E13"/>
    <w:rsid w:val="0006039D"/>
    <w:rsid w:val="00061143"/>
    <w:rsid w:val="000613C5"/>
    <w:rsid w:val="0006447C"/>
    <w:rsid w:val="00064F05"/>
    <w:rsid w:val="000709AD"/>
    <w:rsid w:val="00071F8B"/>
    <w:rsid w:val="00072C41"/>
    <w:rsid w:val="000743EB"/>
    <w:rsid w:val="00074BBB"/>
    <w:rsid w:val="00075E73"/>
    <w:rsid w:val="000767BD"/>
    <w:rsid w:val="00076B59"/>
    <w:rsid w:val="00077366"/>
    <w:rsid w:val="00080649"/>
    <w:rsid w:val="00080D75"/>
    <w:rsid w:val="00081348"/>
    <w:rsid w:val="00082F76"/>
    <w:rsid w:val="00083372"/>
    <w:rsid w:val="00083B79"/>
    <w:rsid w:val="000864BC"/>
    <w:rsid w:val="00090038"/>
    <w:rsid w:val="00090102"/>
    <w:rsid w:val="00090157"/>
    <w:rsid w:val="00090A47"/>
    <w:rsid w:val="00091F5A"/>
    <w:rsid w:val="000929B8"/>
    <w:rsid w:val="000934EE"/>
    <w:rsid w:val="000938DC"/>
    <w:rsid w:val="00093A04"/>
    <w:rsid w:val="00096863"/>
    <w:rsid w:val="000A1C9A"/>
    <w:rsid w:val="000A1D4D"/>
    <w:rsid w:val="000A20F5"/>
    <w:rsid w:val="000A3712"/>
    <w:rsid w:val="000A65F0"/>
    <w:rsid w:val="000B19EC"/>
    <w:rsid w:val="000B1F63"/>
    <w:rsid w:val="000B3358"/>
    <w:rsid w:val="000B370C"/>
    <w:rsid w:val="000B442A"/>
    <w:rsid w:val="000B53DA"/>
    <w:rsid w:val="000C0D3C"/>
    <w:rsid w:val="000C0D7D"/>
    <w:rsid w:val="000C0FCB"/>
    <w:rsid w:val="000C2986"/>
    <w:rsid w:val="000C2A1B"/>
    <w:rsid w:val="000C2CE2"/>
    <w:rsid w:val="000C4631"/>
    <w:rsid w:val="000C4FD5"/>
    <w:rsid w:val="000C6F9D"/>
    <w:rsid w:val="000C77D1"/>
    <w:rsid w:val="000C7B67"/>
    <w:rsid w:val="000D07E9"/>
    <w:rsid w:val="000D0EED"/>
    <w:rsid w:val="000D10B1"/>
    <w:rsid w:val="000D2C83"/>
    <w:rsid w:val="000D3D71"/>
    <w:rsid w:val="000D5877"/>
    <w:rsid w:val="000D5BE0"/>
    <w:rsid w:val="000D67A3"/>
    <w:rsid w:val="000E1018"/>
    <w:rsid w:val="000E2230"/>
    <w:rsid w:val="000E2862"/>
    <w:rsid w:val="000E2EE6"/>
    <w:rsid w:val="000E700D"/>
    <w:rsid w:val="000F048C"/>
    <w:rsid w:val="000F0508"/>
    <w:rsid w:val="000F25CE"/>
    <w:rsid w:val="000F2CC4"/>
    <w:rsid w:val="000F34CA"/>
    <w:rsid w:val="000F3A82"/>
    <w:rsid w:val="000F6C39"/>
    <w:rsid w:val="00100549"/>
    <w:rsid w:val="001013D9"/>
    <w:rsid w:val="001036F5"/>
    <w:rsid w:val="00103C16"/>
    <w:rsid w:val="001042E1"/>
    <w:rsid w:val="0010458F"/>
    <w:rsid w:val="00106B73"/>
    <w:rsid w:val="00107252"/>
    <w:rsid w:val="001111DF"/>
    <w:rsid w:val="00112191"/>
    <w:rsid w:val="0011264F"/>
    <w:rsid w:val="00113259"/>
    <w:rsid w:val="0011376C"/>
    <w:rsid w:val="00114F4E"/>
    <w:rsid w:val="0011557D"/>
    <w:rsid w:val="00115FCC"/>
    <w:rsid w:val="0011616F"/>
    <w:rsid w:val="00116B79"/>
    <w:rsid w:val="00117B43"/>
    <w:rsid w:val="001201EB"/>
    <w:rsid w:val="00120CFC"/>
    <w:rsid w:val="00121ACF"/>
    <w:rsid w:val="00121EB2"/>
    <w:rsid w:val="00123836"/>
    <w:rsid w:val="001259B5"/>
    <w:rsid w:val="00125DE7"/>
    <w:rsid w:val="00126092"/>
    <w:rsid w:val="00127AA2"/>
    <w:rsid w:val="001306AF"/>
    <w:rsid w:val="00130879"/>
    <w:rsid w:val="0013152D"/>
    <w:rsid w:val="001320BB"/>
    <w:rsid w:val="001329E6"/>
    <w:rsid w:val="00133096"/>
    <w:rsid w:val="00133174"/>
    <w:rsid w:val="00134A87"/>
    <w:rsid w:val="00134F9A"/>
    <w:rsid w:val="001369FF"/>
    <w:rsid w:val="00145678"/>
    <w:rsid w:val="00150EEF"/>
    <w:rsid w:val="00151767"/>
    <w:rsid w:val="00151B40"/>
    <w:rsid w:val="0015267D"/>
    <w:rsid w:val="00152945"/>
    <w:rsid w:val="001555CB"/>
    <w:rsid w:val="00155DDA"/>
    <w:rsid w:val="001568FA"/>
    <w:rsid w:val="00156EE2"/>
    <w:rsid w:val="00157A89"/>
    <w:rsid w:val="00160618"/>
    <w:rsid w:val="00161031"/>
    <w:rsid w:val="00161558"/>
    <w:rsid w:val="00161F70"/>
    <w:rsid w:val="00162000"/>
    <w:rsid w:val="00162061"/>
    <w:rsid w:val="0016439F"/>
    <w:rsid w:val="00165346"/>
    <w:rsid w:val="001654BE"/>
    <w:rsid w:val="00165F06"/>
    <w:rsid w:val="00166E1C"/>
    <w:rsid w:val="00167CE9"/>
    <w:rsid w:val="0017006B"/>
    <w:rsid w:val="001709CA"/>
    <w:rsid w:val="00171482"/>
    <w:rsid w:val="00171FB6"/>
    <w:rsid w:val="001736D2"/>
    <w:rsid w:val="00174704"/>
    <w:rsid w:val="0017473C"/>
    <w:rsid w:val="00174822"/>
    <w:rsid w:val="00175113"/>
    <w:rsid w:val="00175370"/>
    <w:rsid w:val="0018023B"/>
    <w:rsid w:val="00181212"/>
    <w:rsid w:val="00182F9E"/>
    <w:rsid w:val="001843C1"/>
    <w:rsid w:val="00185BAA"/>
    <w:rsid w:val="00185D9C"/>
    <w:rsid w:val="001866BC"/>
    <w:rsid w:val="00187055"/>
    <w:rsid w:val="00187CCB"/>
    <w:rsid w:val="00191CC4"/>
    <w:rsid w:val="00192416"/>
    <w:rsid w:val="00192912"/>
    <w:rsid w:val="00193379"/>
    <w:rsid w:val="0019572F"/>
    <w:rsid w:val="001A0691"/>
    <w:rsid w:val="001A5302"/>
    <w:rsid w:val="001A6B50"/>
    <w:rsid w:val="001B0431"/>
    <w:rsid w:val="001B0787"/>
    <w:rsid w:val="001B0F1B"/>
    <w:rsid w:val="001B1620"/>
    <w:rsid w:val="001B1656"/>
    <w:rsid w:val="001B1816"/>
    <w:rsid w:val="001B3096"/>
    <w:rsid w:val="001B3506"/>
    <w:rsid w:val="001B4223"/>
    <w:rsid w:val="001B45B2"/>
    <w:rsid w:val="001B5511"/>
    <w:rsid w:val="001B5881"/>
    <w:rsid w:val="001B6BBA"/>
    <w:rsid w:val="001C0DDA"/>
    <w:rsid w:val="001C0FCD"/>
    <w:rsid w:val="001C1223"/>
    <w:rsid w:val="001C324F"/>
    <w:rsid w:val="001C39FD"/>
    <w:rsid w:val="001C5A68"/>
    <w:rsid w:val="001C5C35"/>
    <w:rsid w:val="001D4F4F"/>
    <w:rsid w:val="001D5A39"/>
    <w:rsid w:val="001E2B7F"/>
    <w:rsid w:val="001E5389"/>
    <w:rsid w:val="001E554B"/>
    <w:rsid w:val="001E6A33"/>
    <w:rsid w:val="001E71F9"/>
    <w:rsid w:val="001F2186"/>
    <w:rsid w:val="001F2ACB"/>
    <w:rsid w:val="001F477C"/>
    <w:rsid w:val="001F4B71"/>
    <w:rsid w:val="001F4C87"/>
    <w:rsid w:val="001F5B14"/>
    <w:rsid w:val="001F6768"/>
    <w:rsid w:val="001F6DD0"/>
    <w:rsid w:val="001F7AE0"/>
    <w:rsid w:val="001F7E32"/>
    <w:rsid w:val="002012D9"/>
    <w:rsid w:val="00201364"/>
    <w:rsid w:val="002051A3"/>
    <w:rsid w:val="00205C29"/>
    <w:rsid w:val="00207421"/>
    <w:rsid w:val="002132D1"/>
    <w:rsid w:val="002134D2"/>
    <w:rsid w:val="002138C5"/>
    <w:rsid w:val="00213F00"/>
    <w:rsid w:val="0021570A"/>
    <w:rsid w:val="00217B9D"/>
    <w:rsid w:val="0022007E"/>
    <w:rsid w:val="002207F4"/>
    <w:rsid w:val="00222CAC"/>
    <w:rsid w:val="0022546D"/>
    <w:rsid w:val="00225759"/>
    <w:rsid w:val="00225AC1"/>
    <w:rsid w:val="00225D6F"/>
    <w:rsid w:val="00227E92"/>
    <w:rsid w:val="00230D98"/>
    <w:rsid w:val="00231116"/>
    <w:rsid w:val="00231F9C"/>
    <w:rsid w:val="002324D1"/>
    <w:rsid w:val="002332B5"/>
    <w:rsid w:val="00235BAF"/>
    <w:rsid w:val="00236759"/>
    <w:rsid w:val="00240E2E"/>
    <w:rsid w:val="0024139E"/>
    <w:rsid w:val="00241C87"/>
    <w:rsid w:val="00243020"/>
    <w:rsid w:val="002437E8"/>
    <w:rsid w:val="00244E11"/>
    <w:rsid w:val="00251BE1"/>
    <w:rsid w:val="002526CD"/>
    <w:rsid w:val="00253C0D"/>
    <w:rsid w:val="0025463A"/>
    <w:rsid w:val="002557A5"/>
    <w:rsid w:val="002578C1"/>
    <w:rsid w:val="002622D7"/>
    <w:rsid w:val="00265FF0"/>
    <w:rsid w:val="00266117"/>
    <w:rsid w:val="002665C5"/>
    <w:rsid w:val="00273DE5"/>
    <w:rsid w:val="00273EF7"/>
    <w:rsid w:val="00273F17"/>
    <w:rsid w:val="00274F9B"/>
    <w:rsid w:val="00276EF8"/>
    <w:rsid w:val="00277168"/>
    <w:rsid w:val="002808B5"/>
    <w:rsid w:val="00281087"/>
    <w:rsid w:val="00284257"/>
    <w:rsid w:val="00286263"/>
    <w:rsid w:val="00292875"/>
    <w:rsid w:val="0029349A"/>
    <w:rsid w:val="00297FCC"/>
    <w:rsid w:val="002A4FA2"/>
    <w:rsid w:val="002A573E"/>
    <w:rsid w:val="002A7352"/>
    <w:rsid w:val="002A79FA"/>
    <w:rsid w:val="002B0571"/>
    <w:rsid w:val="002B0AD5"/>
    <w:rsid w:val="002B1227"/>
    <w:rsid w:val="002B304F"/>
    <w:rsid w:val="002B3C14"/>
    <w:rsid w:val="002B4987"/>
    <w:rsid w:val="002B50BA"/>
    <w:rsid w:val="002B50D3"/>
    <w:rsid w:val="002C1731"/>
    <w:rsid w:val="002C2C36"/>
    <w:rsid w:val="002C2F7A"/>
    <w:rsid w:val="002C301A"/>
    <w:rsid w:val="002C4675"/>
    <w:rsid w:val="002C498E"/>
    <w:rsid w:val="002D3EF8"/>
    <w:rsid w:val="002D62E6"/>
    <w:rsid w:val="002D7284"/>
    <w:rsid w:val="002E0675"/>
    <w:rsid w:val="002E3E13"/>
    <w:rsid w:val="002E4C8E"/>
    <w:rsid w:val="002E5B6D"/>
    <w:rsid w:val="002E67D2"/>
    <w:rsid w:val="002F07DA"/>
    <w:rsid w:val="002F10CC"/>
    <w:rsid w:val="002F1273"/>
    <w:rsid w:val="002F2A1D"/>
    <w:rsid w:val="002F2B0B"/>
    <w:rsid w:val="002F2E93"/>
    <w:rsid w:val="002F6717"/>
    <w:rsid w:val="002F72DC"/>
    <w:rsid w:val="002F7C7B"/>
    <w:rsid w:val="00300219"/>
    <w:rsid w:val="00301CCE"/>
    <w:rsid w:val="00301E96"/>
    <w:rsid w:val="00302F73"/>
    <w:rsid w:val="00303126"/>
    <w:rsid w:val="00303D06"/>
    <w:rsid w:val="00304766"/>
    <w:rsid w:val="003062D7"/>
    <w:rsid w:val="003078B4"/>
    <w:rsid w:val="00313C12"/>
    <w:rsid w:val="00314404"/>
    <w:rsid w:val="00314CF9"/>
    <w:rsid w:val="003203BF"/>
    <w:rsid w:val="00322520"/>
    <w:rsid w:val="003232CC"/>
    <w:rsid w:val="00323639"/>
    <w:rsid w:val="003245D3"/>
    <w:rsid w:val="003269E9"/>
    <w:rsid w:val="0032716E"/>
    <w:rsid w:val="00330A9A"/>
    <w:rsid w:val="00331480"/>
    <w:rsid w:val="00331F01"/>
    <w:rsid w:val="00332A3E"/>
    <w:rsid w:val="0033550C"/>
    <w:rsid w:val="00337558"/>
    <w:rsid w:val="003375E7"/>
    <w:rsid w:val="003428A7"/>
    <w:rsid w:val="00342AF6"/>
    <w:rsid w:val="00347CEC"/>
    <w:rsid w:val="00351078"/>
    <w:rsid w:val="00351B7A"/>
    <w:rsid w:val="003529A5"/>
    <w:rsid w:val="00355462"/>
    <w:rsid w:val="0036017F"/>
    <w:rsid w:val="00362054"/>
    <w:rsid w:val="003658C8"/>
    <w:rsid w:val="0036665B"/>
    <w:rsid w:val="00366909"/>
    <w:rsid w:val="00367E3D"/>
    <w:rsid w:val="00372C15"/>
    <w:rsid w:val="003735F8"/>
    <w:rsid w:val="00374979"/>
    <w:rsid w:val="00374A55"/>
    <w:rsid w:val="00375D9C"/>
    <w:rsid w:val="003761DC"/>
    <w:rsid w:val="003767DB"/>
    <w:rsid w:val="00377FB2"/>
    <w:rsid w:val="00380301"/>
    <w:rsid w:val="00380332"/>
    <w:rsid w:val="003803B8"/>
    <w:rsid w:val="00384729"/>
    <w:rsid w:val="00384FFC"/>
    <w:rsid w:val="00387B6E"/>
    <w:rsid w:val="00392D2A"/>
    <w:rsid w:val="00393518"/>
    <w:rsid w:val="0039424C"/>
    <w:rsid w:val="003959E7"/>
    <w:rsid w:val="00396F1E"/>
    <w:rsid w:val="003974B0"/>
    <w:rsid w:val="00397A79"/>
    <w:rsid w:val="003A0B99"/>
    <w:rsid w:val="003A0C9F"/>
    <w:rsid w:val="003A0D72"/>
    <w:rsid w:val="003A2FC6"/>
    <w:rsid w:val="003A38A9"/>
    <w:rsid w:val="003A416F"/>
    <w:rsid w:val="003A4C13"/>
    <w:rsid w:val="003A56A4"/>
    <w:rsid w:val="003A5F4B"/>
    <w:rsid w:val="003A6600"/>
    <w:rsid w:val="003A77C7"/>
    <w:rsid w:val="003A7A1E"/>
    <w:rsid w:val="003B04F3"/>
    <w:rsid w:val="003B0C9C"/>
    <w:rsid w:val="003B20F8"/>
    <w:rsid w:val="003B3DF9"/>
    <w:rsid w:val="003B4000"/>
    <w:rsid w:val="003B5E8F"/>
    <w:rsid w:val="003B604D"/>
    <w:rsid w:val="003B767A"/>
    <w:rsid w:val="003C055C"/>
    <w:rsid w:val="003C0A43"/>
    <w:rsid w:val="003C3490"/>
    <w:rsid w:val="003C3545"/>
    <w:rsid w:val="003C4AB1"/>
    <w:rsid w:val="003C4C22"/>
    <w:rsid w:val="003C57D2"/>
    <w:rsid w:val="003C7DAC"/>
    <w:rsid w:val="003D0EC7"/>
    <w:rsid w:val="003D1102"/>
    <w:rsid w:val="003D22B4"/>
    <w:rsid w:val="003D257A"/>
    <w:rsid w:val="003D31AA"/>
    <w:rsid w:val="003D350B"/>
    <w:rsid w:val="003D35B1"/>
    <w:rsid w:val="003D5926"/>
    <w:rsid w:val="003D5C11"/>
    <w:rsid w:val="003D7814"/>
    <w:rsid w:val="003D7A13"/>
    <w:rsid w:val="003E116C"/>
    <w:rsid w:val="003E1FE1"/>
    <w:rsid w:val="003E2999"/>
    <w:rsid w:val="003E3210"/>
    <w:rsid w:val="003E777A"/>
    <w:rsid w:val="003F0AD0"/>
    <w:rsid w:val="003F234A"/>
    <w:rsid w:val="003F2E76"/>
    <w:rsid w:val="003F3AE6"/>
    <w:rsid w:val="003F3EF6"/>
    <w:rsid w:val="003F5E04"/>
    <w:rsid w:val="003F63A3"/>
    <w:rsid w:val="003F740E"/>
    <w:rsid w:val="00400F0A"/>
    <w:rsid w:val="00401439"/>
    <w:rsid w:val="004015EF"/>
    <w:rsid w:val="00401FB0"/>
    <w:rsid w:val="00404609"/>
    <w:rsid w:val="004069C3"/>
    <w:rsid w:val="00412A07"/>
    <w:rsid w:val="00414CAF"/>
    <w:rsid w:val="0041530E"/>
    <w:rsid w:val="00416179"/>
    <w:rsid w:val="004169BB"/>
    <w:rsid w:val="0041796A"/>
    <w:rsid w:val="0042368B"/>
    <w:rsid w:val="00423E7C"/>
    <w:rsid w:val="004248D1"/>
    <w:rsid w:val="00425030"/>
    <w:rsid w:val="004250FC"/>
    <w:rsid w:val="004264F7"/>
    <w:rsid w:val="0042741C"/>
    <w:rsid w:val="00430307"/>
    <w:rsid w:val="004303E8"/>
    <w:rsid w:val="00431421"/>
    <w:rsid w:val="00431CCF"/>
    <w:rsid w:val="0043211A"/>
    <w:rsid w:val="00432C8C"/>
    <w:rsid w:val="00433198"/>
    <w:rsid w:val="00433504"/>
    <w:rsid w:val="004347C1"/>
    <w:rsid w:val="00435239"/>
    <w:rsid w:val="00437A3E"/>
    <w:rsid w:val="00440FB7"/>
    <w:rsid w:val="004422B6"/>
    <w:rsid w:val="004502C2"/>
    <w:rsid w:val="00451720"/>
    <w:rsid w:val="004523BB"/>
    <w:rsid w:val="00452E62"/>
    <w:rsid w:val="00453C32"/>
    <w:rsid w:val="00454D09"/>
    <w:rsid w:val="004552EE"/>
    <w:rsid w:val="00455550"/>
    <w:rsid w:val="00457183"/>
    <w:rsid w:val="004575F5"/>
    <w:rsid w:val="00460767"/>
    <w:rsid w:val="00460F2D"/>
    <w:rsid w:val="00461BD5"/>
    <w:rsid w:val="004620FE"/>
    <w:rsid w:val="00462890"/>
    <w:rsid w:val="004639FB"/>
    <w:rsid w:val="00463D70"/>
    <w:rsid w:val="00465016"/>
    <w:rsid w:val="0046652D"/>
    <w:rsid w:val="00466B0A"/>
    <w:rsid w:val="00466F66"/>
    <w:rsid w:val="004703C0"/>
    <w:rsid w:val="00470A62"/>
    <w:rsid w:val="004747A6"/>
    <w:rsid w:val="00474A6E"/>
    <w:rsid w:val="0047554B"/>
    <w:rsid w:val="00475B6E"/>
    <w:rsid w:val="00475B9F"/>
    <w:rsid w:val="00477C32"/>
    <w:rsid w:val="00480CCF"/>
    <w:rsid w:val="004863D5"/>
    <w:rsid w:val="00486ACC"/>
    <w:rsid w:val="00486C14"/>
    <w:rsid w:val="00487970"/>
    <w:rsid w:val="00487F34"/>
    <w:rsid w:val="00492CB3"/>
    <w:rsid w:val="004A0355"/>
    <w:rsid w:val="004A0B85"/>
    <w:rsid w:val="004A128D"/>
    <w:rsid w:val="004A18DF"/>
    <w:rsid w:val="004A1FDE"/>
    <w:rsid w:val="004A3556"/>
    <w:rsid w:val="004A48DD"/>
    <w:rsid w:val="004A640B"/>
    <w:rsid w:val="004A7A32"/>
    <w:rsid w:val="004B0190"/>
    <w:rsid w:val="004B12D2"/>
    <w:rsid w:val="004B59FB"/>
    <w:rsid w:val="004B6CEE"/>
    <w:rsid w:val="004C0A12"/>
    <w:rsid w:val="004C171F"/>
    <w:rsid w:val="004C232E"/>
    <w:rsid w:val="004C3077"/>
    <w:rsid w:val="004C3A31"/>
    <w:rsid w:val="004C602D"/>
    <w:rsid w:val="004C6A70"/>
    <w:rsid w:val="004C7086"/>
    <w:rsid w:val="004C70F5"/>
    <w:rsid w:val="004C7C74"/>
    <w:rsid w:val="004C7EC1"/>
    <w:rsid w:val="004D0A48"/>
    <w:rsid w:val="004D53F9"/>
    <w:rsid w:val="004E0367"/>
    <w:rsid w:val="004E2970"/>
    <w:rsid w:val="004E2E49"/>
    <w:rsid w:val="004E38CD"/>
    <w:rsid w:val="004E3CFE"/>
    <w:rsid w:val="004E441C"/>
    <w:rsid w:val="004E7271"/>
    <w:rsid w:val="004E7423"/>
    <w:rsid w:val="004F12CD"/>
    <w:rsid w:val="004F16B0"/>
    <w:rsid w:val="004F2E60"/>
    <w:rsid w:val="004F34D7"/>
    <w:rsid w:val="004F40A7"/>
    <w:rsid w:val="004F4B3F"/>
    <w:rsid w:val="004F5FDD"/>
    <w:rsid w:val="005040F2"/>
    <w:rsid w:val="00504541"/>
    <w:rsid w:val="005048B3"/>
    <w:rsid w:val="005064C5"/>
    <w:rsid w:val="005077C2"/>
    <w:rsid w:val="00510F69"/>
    <w:rsid w:val="0051129F"/>
    <w:rsid w:val="00511EEB"/>
    <w:rsid w:val="005154BB"/>
    <w:rsid w:val="005164CF"/>
    <w:rsid w:val="0052346B"/>
    <w:rsid w:val="00524874"/>
    <w:rsid w:val="00525EF8"/>
    <w:rsid w:val="005269D4"/>
    <w:rsid w:val="00526F2B"/>
    <w:rsid w:val="00527E3F"/>
    <w:rsid w:val="00527EA7"/>
    <w:rsid w:val="00530AC8"/>
    <w:rsid w:val="00530D84"/>
    <w:rsid w:val="0053244C"/>
    <w:rsid w:val="005324DE"/>
    <w:rsid w:val="0053295F"/>
    <w:rsid w:val="00534426"/>
    <w:rsid w:val="00535811"/>
    <w:rsid w:val="00540E8F"/>
    <w:rsid w:val="00541DB4"/>
    <w:rsid w:val="005421AE"/>
    <w:rsid w:val="0054279F"/>
    <w:rsid w:val="00544D8F"/>
    <w:rsid w:val="005503B3"/>
    <w:rsid w:val="005508AD"/>
    <w:rsid w:val="00550B19"/>
    <w:rsid w:val="00551305"/>
    <w:rsid w:val="00551AC6"/>
    <w:rsid w:val="00555065"/>
    <w:rsid w:val="00556080"/>
    <w:rsid w:val="00556FFB"/>
    <w:rsid w:val="005573FD"/>
    <w:rsid w:val="00557C98"/>
    <w:rsid w:val="00561025"/>
    <w:rsid w:val="00561D4F"/>
    <w:rsid w:val="005624BD"/>
    <w:rsid w:val="005629CD"/>
    <w:rsid w:val="00564770"/>
    <w:rsid w:val="00564842"/>
    <w:rsid w:val="00564CE7"/>
    <w:rsid w:val="00565E2D"/>
    <w:rsid w:val="00565F90"/>
    <w:rsid w:val="0056635F"/>
    <w:rsid w:val="00567E90"/>
    <w:rsid w:val="00572793"/>
    <w:rsid w:val="0057396C"/>
    <w:rsid w:val="0057497E"/>
    <w:rsid w:val="00583C73"/>
    <w:rsid w:val="00586422"/>
    <w:rsid w:val="00587150"/>
    <w:rsid w:val="005905DC"/>
    <w:rsid w:val="00591911"/>
    <w:rsid w:val="00592761"/>
    <w:rsid w:val="005934B2"/>
    <w:rsid w:val="0059370A"/>
    <w:rsid w:val="00595C5E"/>
    <w:rsid w:val="005A0517"/>
    <w:rsid w:val="005A192A"/>
    <w:rsid w:val="005A2847"/>
    <w:rsid w:val="005A476A"/>
    <w:rsid w:val="005A47F3"/>
    <w:rsid w:val="005A49B2"/>
    <w:rsid w:val="005A5696"/>
    <w:rsid w:val="005A60BC"/>
    <w:rsid w:val="005A6631"/>
    <w:rsid w:val="005B154B"/>
    <w:rsid w:val="005B2E57"/>
    <w:rsid w:val="005B31CF"/>
    <w:rsid w:val="005B4A9D"/>
    <w:rsid w:val="005B5798"/>
    <w:rsid w:val="005C3116"/>
    <w:rsid w:val="005C41DC"/>
    <w:rsid w:val="005C4A80"/>
    <w:rsid w:val="005C5F85"/>
    <w:rsid w:val="005C62AA"/>
    <w:rsid w:val="005C69E0"/>
    <w:rsid w:val="005C6B3E"/>
    <w:rsid w:val="005D0C8C"/>
    <w:rsid w:val="005D2073"/>
    <w:rsid w:val="005D2410"/>
    <w:rsid w:val="005D2860"/>
    <w:rsid w:val="005D39D8"/>
    <w:rsid w:val="005D3A85"/>
    <w:rsid w:val="005D4BAB"/>
    <w:rsid w:val="005D60FB"/>
    <w:rsid w:val="005D63F0"/>
    <w:rsid w:val="005E0060"/>
    <w:rsid w:val="005E07A2"/>
    <w:rsid w:val="005E0EEE"/>
    <w:rsid w:val="005E29BF"/>
    <w:rsid w:val="005E3575"/>
    <w:rsid w:val="005E38C4"/>
    <w:rsid w:val="005E426E"/>
    <w:rsid w:val="005E4448"/>
    <w:rsid w:val="005E4450"/>
    <w:rsid w:val="005E4A8E"/>
    <w:rsid w:val="005E6DF0"/>
    <w:rsid w:val="005F05FC"/>
    <w:rsid w:val="005F1657"/>
    <w:rsid w:val="005F209D"/>
    <w:rsid w:val="005F3214"/>
    <w:rsid w:val="005F77C2"/>
    <w:rsid w:val="006042DD"/>
    <w:rsid w:val="006075A4"/>
    <w:rsid w:val="00610A1B"/>
    <w:rsid w:val="00611FD5"/>
    <w:rsid w:val="00611FF9"/>
    <w:rsid w:val="00613489"/>
    <w:rsid w:val="00615DED"/>
    <w:rsid w:val="00616140"/>
    <w:rsid w:val="00616AA0"/>
    <w:rsid w:val="00616DC7"/>
    <w:rsid w:val="0061708C"/>
    <w:rsid w:val="00617BA7"/>
    <w:rsid w:val="00617E4D"/>
    <w:rsid w:val="006200C3"/>
    <w:rsid w:val="00621948"/>
    <w:rsid w:val="006221C8"/>
    <w:rsid w:val="006228B7"/>
    <w:rsid w:val="00631E3F"/>
    <w:rsid w:val="006329F3"/>
    <w:rsid w:val="0063344C"/>
    <w:rsid w:val="00633A02"/>
    <w:rsid w:val="00634CFD"/>
    <w:rsid w:val="00636106"/>
    <w:rsid w:val="00636828"/>
    <w:rsid w:val="006375EA"/>
    <w:rsid w:val="0064031A"/>
    <w:rsid w:val="00640C94"/>
    <w:rsid w:val="0064103A"/>
    <w:rsid w:val="00642988"/>
    <w:rsid w:val="00643546"/>
    <w:rsid w:val="00646117"/>
    <w:rsid w:val="00646B4D"/>
    <w:rsid w:val="00650933"/>
    <w:rsid w:val="0065104B"/>
    <w:rsid w:val="00652D12"/>
    <w:rsid w:val="0065315B"/>
    <w:rsid w:val="0065453C"/>
    <w:rsid w:val="006552EE"/>
    <w:rsid w:val="006553BE"/>
    <w:rsid w:val="006611D6"/>
    <w:rsid w:val="00662FD4"/>
    <w:rsid w:val="006644E9"/>
    <w:rsid w:val="00664A06"/>
    <w:rsid w:val="00665201"/>
    <w:rsid w:val="00666ABF"/>
    <w:rsid w:val="00667E56"/>
    <w:rsid w:val="006708FB"/>
    <w:rsid w:val="00675479"/>
    <w:rsid w:val="0068280A"/>
    <w:rsid w:val="00682C9F"/>
    <w:rsid w:val="006847BA"/>
    <w:rsid w:val="006849EF"/>
    <w:rsid w:val="00690372"/>
    <w:rsid w:val="006906E2"/>
    <w:rsid w:val="00692C20"/>
    <w:rsid w:val="006933E9"/>
    <w:rsid w:val="0069433B"/>
    <w:rsid w:val="00694A09"/>
    <w:rsid w:val="00695C3B"/>
    <w:rsid w:val="006971CE"/>
    <w:rsid w:val="006977E4"/>
    <w:rsid w:val="00697AC6"/>
    <w:rsid w:val="006A3160"/>
    <w:rsid w:val="006A3765"/>
    <w:rsid w:val="006A3DD3"/>
    <w:rsid w:val="006A6218"/>
    <w:rsid w:val="006A65E4"/>
    <w:rsid w:val="006B04E3"/>
    <w:rsid w:val="006B0C63"/>
    <w:rsid w:val="006B237E"/>
    <w:rsid w:val="006B44E3"/>
    <w:rsid w:val="006B50B3"/>
    <w:rsid w:val="006B55C8"/>
    <w:rsid w:val="006B751F"/>
    <w:rsid w:val="006C1A1A"/>
    <w:rsid w:val="006C27FE"/>
    <w:rsid w:val="006C385F"/>
    <w:rsid w:val="006C47F6"/>
    <w:rsid w:val="006C6425"/>
    <w:rsid w:val="006C66EC"/>
    <w:rsid w:val="006C7251"/>
    <w:rsid w:val="006D35E4"/>
    <w:rsid w:val="006D4704"/>
    <w:rsid w:val="006D4C6E"/>
    <w:rsid w:val="006D654E"/>
    <w:rsid w:val="006D6A5C"/>
    <w:rsid w:val="006D6A6D"/>
    <w:rsid w:val="006E3EFE"/>
    <w:rsid w:val="006E5421"/>
    <w:rsid w:val="006E7AE2"/>
    <w:rsid w:val="006F0758"/>
    <w:rsid w:val="006F0C1B"/>
    <w:rsid w:val="006F1590"/>
    <w:rsid w:val="006F16CF"/>
    <w:rsid w:val="006F47CF"/>
    <w:rsid w:val="006F69EC"/>
    <w:rsid w:val="007020BF"/>
    <w:rsid w:val="007037B6"/>
    <w:rsid w:val="00704661"/>
    <w:rsid w:val="0070671E"/>
    <w:rsid w:val="00707A9D"/>
    <w:rsid w:val="007117A7"/>
    <w:rsid w:val="00712534"/>
    <w:rsid w:val="007149A3"/>
    <w:rsid w:val="0071614C"/>
    <w:rsid w:val="00716A08"/>
    <w:rsid w:val="00720CC3"/>
    <w:rsid w:val="00721624"/>
    <w:rsid w:val="0072254E"/>
    <w:rsid w:val="00723003"/>
    <w:rsid w:val="00724968"/>
    <w:rsid w:val="007257D1"/>
    <w:rsid w:val="00725ED8"/>
    <w:rsid w:val="00725FB3"/>
    <w:rsid w:val="00726D79"/>
    <w:rsid w:val="00730457"/>
    <w:rsid w:val="00730802"/>
    <w:rsid w:val="00730D02"/>
    <w:rsid w:val="00730E03"/>
    <w:rsid w:val="007315A6"/>
    <w:rsid w:val="00732FF9"/>
    <w:rsid w:val="00733BD3"/>
    <w:rsid w:val="00733BF4"/>
    <w:rsid w:val="00735875"/>
    <w:rsid w:val="00735BF3"/>
    <w:rsid w:val="00736960"/>
    <w:rsid w:val="00737CD4"/>
    <w:rsid w:val="007424D0"/>
    <w:rsid w:val="007429F9"/>
    <w:rsid w:val="00745508"/>
    <w:rsid w:val="00745812"/>
    <w:rsid w:val="00747FE1"/>
    <w:rsid w:val="00750753"/>
    <w:rsid w:val="00754014"/>
    <w:rsid w:val="007553F6"/>
    <w:rsid w:val="007602B3"/>
    <w:rsid w:val="00760A92"/>
    <w:rsid w:val="0076141F"/>
    <w:rsid w:val="007649A6"/>
    <w:rsid w:val="0076757B"/>
    <w:rsid w:val="00767BF0"/>
    <w:rsid w:val="007708E8"/>
    <w:rsid w:val="00771AF8"/>
    <w:rsid w:val="007742E9"/>
    <w:rsid w:val="007744E5"/>
    <w:rsid w:val="00774653"/>
    <w:rsid w:val="00774F45"/>
    <w:rsid w:val="00775CE5"/>
    <w:rsid w:val="00775FC7"/>
    <w:rsid w:val="0077660C"/>
    <w:rsid w:val="00776F05"/>
    <w:rsid w:val="007801BD"/>
    <w:rsid w:val="00781AB5"/>
    <w:rsid w:val="00781CDA"/>
    <w:rsid w:val="007832B5"/>
    <w:rsid w:val="0079079E"/>
    <w:rsid w:val="00792273"/>
    <w:rsid w:val="00792916"/>
    <w:rsid w:val="00794151"/>
    <w:rsid w:val="00797B4C"/>
    <w:rsid w:val="007A0309"/>
    <w:rsid w:val="007A03F3"/>
    <w:rsid w:val="007A093F"/>
    <w:rsid w:val="007A4171"/>
    <w:rsid w:val="007A427C"/>
    <w:rsid w:val="007A42B7"/>
    <w:rsid w:val="007A49CF"/>
    <w:rsid w:val="007A4B30"/>
    <w:rsid w:val="007A4EF6"/>
    <w:rsid w:val="007A5CC7"/>
    <w:rsid w:val="007A67DD"/>
    <w:rsid w:val="007B00EC"/>
    <w:rsid w:val="007B06F3"/>
    <w:rsid w:val="007B1BF5"/>
    <w:rsid w:val="007B2B88"/>
    <w:rsid w:val="007B30A5"/>
    <w:rsid w:val="007B343E"/>
    <w:rsid w:val="007B3F87"/>
    <w:rsid w:val="007B52E9"/>
    <w:rsid w:val="007B5D12"/>
    <w:rsid w:val="007B5F4B"/>
    <w:rsid w:val="007B68CF"/>
    <w:rsid w:val="007B7BD1"/>
    <w:rsid w:val="007C00D4"/>
    <w:rsid w:val="007C1960"/>
    <w:rsid w:val="007C2192"/>
    <w:rsid w:val="007C2493"/>
    <w:rsid w:val="007C2672"/>
    <w:rsid w:val="007C404C"/>
    <w:rsid w:val="007C4B30"/>
    <w:rsid w:val="007C55B8"/>
    <w:rsid w:val="007C5FFB"/>
    <w:rsid w:val="007C6574"/>
    <w:rsid w:val="007C726E"/>
    <w:rsid w:val="007C72A4"/>
    <w:rsid w:val="007C74DB"/>
    <w:rsid w:val="007D4412"/>
    <w:rsid w:val="007D790A"/>
    <w:rsid w:val="007E0A1B"/>
    <w:rsid w:val="007E15D8"/>
    <w:rsid w:val="007E1A39"/>
    <w:rsid w:val="007E25E3"/>
    <w:rsid w:val="007E3606"/>
    <w:rsid w:val="007E3EE9"/>
    <w:rsid w:val="007E4FC9"/>
    <w:rsid w:val="007E6654"/>
    <w:rsid w:val="007E72A2"/>
    <w:rsid w:val="007F0CB5"/>
    <w:rsid w:val="007F26E0"/>
    <w:rsid w:val="007F4D81"/>
    <w:rsid w:val="007F58F4"/>
    <w:rsid w:val="007F66A7"/>
    <w:rsid w:val="007F74B3"/>
    <w:rsid w:val="007F770B"/>
    <w:rsid w:val="007F7F0E"/>
    <w:rsid w:val="00801BB3"/>
    <w:rsid w:val="00802B6A"/>
    <w:rsid w:val="00803E49"/>
    <w:rsid w:val="00805CF9"/>
    <w:rsid w:val="008064A8"/>
    <w:rsid w:val="008073ED"/>
    <w:rsid w:val="00811698"/>
    <w:rsid w:val="00812965"/>
    <w:rsid w:val="00812B8F"/>
    <w:rsid w:val="00813DA5"/>
    <w:rsid w:val="00814D71"/>
    <w:rsid w:val="008154C8"/>
    <w:rsid w:val="008202D4"/>
    <w:rsid w:val="00820FD4"/>
    <w:rsid w:val="00821324"/>
    <w:rsid w:val="00821658"/>
    <w:rsid w:val="00822AAE"/>
    <w:rsid w:val="00824F9A"/>
    <w:rsid w:val="00825CF2"/>
    <w:rsid w:val="0082663A"/>
    <w:rsid w:val="008270FA"/>
    <w:rsid w:val="00827121"/>
    <w:rsid w:val="00831F0E"/>
    <w:rsid w:val="0083327E"/>
    <w:rsid w:val="00833F5D"/>
    <w:rsid w:val="00835016"/>
    <w:rsid w:val="00835D21"/>
    <w:rsid w:val="00835F55"/>
    <w:rsid w:val="008403E4"/>
    <w:rsid w:val="008427E6"/>
    <w:rsid w:val="00844E89"/>
    <w:rsid w:val="00845946"/>
    <w:rsid w:val="00845D40"/>
    <w:rsid w:val="00847EEA"/>
    <w:rsid w:val="0085064A"/>
    <w:rsid w:val="00850E07"/>
    <w:rsid w:val="0085180F"/>
    <w:rsid w:val="00852056"/>
    <w:rsid w:val="0085360B"/>
    <w:rsid w:val="00855BE9"/>
    <w:rsid w:val="00855C69"/>
    <w:rsid w:val="00856123"/>
    <w:rsid w:val="0085762A"/>
    <w:rsid w:val="0085771B"/>
    <w:rsid w:val="0085773C"/>
    <w:rsid w:val="008606AB"/>
    <w:rsid w:val="0086075C"/>
    <w:rsid w:val="00861937"/>
    <w:rsid w:val="00861FD7"/>
    <w:rsid w:val="008629C7"/>
    <w:rsid w:val="008651D5"/>
    <w:rsid w:val="00866D3A"/>
    <w:rsid w:val="00870C6C"/>
    <w:rsid w:val="0087193E"/>
    <w:rsid w:val="008732D3"/>
    <w:rsid w:val="008769E7"/>
    <w:rsid w:val="00877EE7"/>
    <w:rsid w:val="00880E72"/>
    <w:rsid w:val="008828CD"/>
    <w:rsid w:val="00886AB6"/>
    <w:rsid w:val="00887C7C"/>
    <w:rsid w:val="00887CCC"/>
    <w:rsid w:val="00893891"/>
    <w:rsid w:val="00894100"/>
    <w:rsid w:val="00896C5D"/>
    <w:rsid w:val="00896D42"/>
    <w:rsid w:val="00896E5D"/>
    <w:rsid w:val="0089760C"/>
    <w:rsid w:val="008A1FE8"/>
    <w:rsid w:val="008A37AF"/>
    <w:rsid w:val="008A41B5"/>
    <w:rsid w:val="008A4C03"/>
    <w:rsid w:val="008A64FA"/>
    <w:rsid w:val="008A70C6"/>
    <w:rsid w:val="008A7D38"/>
    <w:rsid w:val="008B025B"/>
    <w:rsid w:val="008B12F8"/>
    <w:rsid w:val="008B40E3"/>
    <w:rsid w:val="008B4307"/>
    <w:rsid w:val="008B49F4"/>
    <w:rsid w:val="008C01DF"/>
    <w:rsid w:val="008C0D0E"/>
    <w:rsid w:val="008C1BF1"/>
    <w:rsid w:val="008C21A0"/>
    <w:rsid w:val="008C28EA"/>
    <w:rsid w:val="008C5CE7"/>
    <w:rsid w:val="008C64BB"/>
    <w:rsid w:val="008C6639"/>
    <w:rsid w:val="008C786B"/>
    <w:rsid w:val="008D014F"/>
    <w:rsid w:val="008D1E68"/>
    <w:rsid w:val="008D1E95"/>
    <w:rsid w:val="008D21E3"/>
    <w:rsid w:val="008D2B5E"/>
    <w:rsid w:val="008D49EF"/>
    <w:rsid w:val="008D620D"/>
    <w:rsid w:val="008E0848"/>
    <w:rsid w:val="008E4E63"/>
    <w:rsid w:val="008E7E2F"/>
    <w:rsid w:val="008E7FFE"/>
    <w:rsid w:val="008F0296"/>
    <w:rsid w:val="008F1E09"/>
    <w:rsid w:val="008F4A5E"/>
    <w:rsid w:val="008F5A8F"/>
    <w:rsid w:val="008F5E3D"/>
    <w:rsid w:val="008F6F8F"/>
    <w:rsid w:val="008F715B"/>
    <w:rsid w:val="008F7B72"/>
    <w:rsid w:val="008F7E3B"/>
    <w:rsid w:val="009015CD"/>
    <w:rsid w:val="00902016"/>
    <w:rsid w:val="00902F5A"/>
    <w:rsid w:val="0090405F"/>
    <w:rsid w:val="00904798"/>
    <w:rsid w:val="00907DDA"/>
    <w:rsid w:val="009116F2"/>
    <w:rsid w:val="009121B4"/>
    <w:rsid w:val="009129CC"/>
    <w:rsid w:val="009139E3"/>
    <w:rsid w:val="00913D1A"/>
    <w:rsid w:val="009141CB"/>
    <w:rsid w:val="0091479C"/>
    <w:rsid w:val="009153B0"/>
    <w:rsid w:val="0091692C"/>
    <w:rsid w:val="009205CA"/>
    <w:rsid w:val="009212C8"/>
    <w:rsid w:val="00922830"/>
    <w:rsid w:val="0092293D"/>
    <w:rsid w:val="00922E51"/>
    <w:rsid w:val="0092364C"/>
    <w:rsid w:val="00926AC1"/>
    <w:rsid w:val="00926D61"/>
    <w:rsid w:val="00926F25"/>
    <w:rsid w:val="0093168F"/>
    <w:rsid w:val="0093345A"/>
    <w:rsid w:val="00934B77"/>
    <w:rsid w:val="00936186"/>
    <w:rsid w:val="009367A8"/>
    <w:rsid w:val="00937B5E"/>
    <w:rsid w:val="0094190D"/>
    <w:rsid w:val="00943D16"/>
    <w:rsid w:val="00946099"/>
    <w:rsid w:val="009460F3"/>
    <w:rsid w:val="0095012D"/>
    <w:rsid w:val="00950F15"/>
    <w:rsid w:val="009510C4"/>
    <w:rsid w:val="0095161E"/>
    <w:rsid w:val="00953C90"/>
    <w:rsid w:val="0095560B"/>
    <w:rsid w:val="00955EBB"/>
    <w:rsid w:val="0095669C"/>
    <w:rsid w:val="00960E80"/>
    <w:rsid w:val="00964018"/>
    <w:rsid w:val="00964E92"/>
    <w:rsid w:val="00964FB3"/>
    <w:rsid w:val="00966311"/>
    <w:rsid w:val="00970563"/>
    <w:rsid w:val="00972764"/>
    <w:rsid w:val="00973396"/>
    <w:rsid w:val="009740DC"/>
    <w:rsid w:val="00974682"/>
    <w:rsid w:val="00975D09"/>
    <w:rsid w:val="00977A3A"/>
    <w:rsid w:val="00977ED5"/>
    <w:rsid w:val="00981379"/>
    <w:rsid w:val="00981A1E"/>
    <w:rsid w:val="00982D07"/>
    <w:rsid w:val="00991083"/>
    <w:rsid w:val="009913D9"/>
    <w:rsid w:val="009918B2"/>
    <w:rsid w:val="0099419C"/>
    <w:rsid w:val="00994211"/>
    <w:rsid w:val="00994A0F"/>
    <w:rsid w:val="00995C4D"/>
    <w:rsid w:val="009975A7"/>
    <w:rsid w:val="009A1A61"/>
    <w:rsid w:val="009A1E66"/>
    <w:rsid w:val="009A381B"/>
    <w:rsid w:val="009A38F0"/>
    <w:rsid w:val="009A3EAD"/>
    <w:rsid w:val="009A4025"/>
    <w:rsid w:val="009A4237"/>
    <w:rsid w:val="009A60FB"/>
    <w:rsid w:val="009A6E78"/>
    <w:rsid w:val="009B013C"/>
    <w:rsid w:val="009B2430"/>
    <w:rsid w:val="009B2BF3"/>
    <w:rsid w:val="009B4BFD"/>
    <w:rsid w:val="009B635D"/>
    <w:rsid w:val="009C0733"/>
    <w:rsid w:val="009C10FF"/>
    <w:rsid w:val="009C2B01"/>
    <w:rsid w:val="009C3516"/>
    <w:rsid w:val="009C45BA"/>
    <w:rsid w:val="009C52DE"/>
    <w:rsid w:val="009C55B3"/>
    <w:rsid w:val="009C74DC"/>
    <w:rsid w:val="009D02B9"/>
    <w:rsid w:val="009D497C"/>
    <w:rsid w:val="009E07F0"/>
    <w:rsid w:val="009E1214"/>
    <w:rsid w:val="009E378F"/>
    <w:rsid w:val="009E460B"/>
    <w:rsid w:val="009E5B61"/>
    <w:rsid w:val="009E6910"/>
    <w:rsid w:val="009E7D92"/>
    <w:rsid w:val="009F0403"/>
    <w:rsid w:val="009F0BD3"/>
    <w:rsid w:val="009F2A01"/>
    <w:rsid w:val="009F2C44"/>
    <w:rsid w:val="009F3527"/>
    <w:rsid w:val="009F4180"/>
    <w:rsid w:val="009F4F8D"/>
    <w:rsid w:val="009F553B"/>
    <w:rsid w:val="009F6082"/>
    <w:rsid w:val="00A0178A"/>
    <w:rsid w:val="00A02608"/>
    <w:rsid w:val="00A03464"/>
    <w:rsid w:val="00A03F4C"/>
    <w:rsid w:val="00A05A13"/>
    <w:rsid w:val="00A07E81"/>
    <w:rsid w:val="00A07EA2"/>
    <w:rsid w:val="00A107CE"/>
    <w:rsid w:val="00A108A0"/>
    <w:rsid w:val="00A1198C"/>
    <w:rsid w:val="00A1287A"/>
    <w:rsid w:val="00A13547"/>
    <w:rsid w:val="00A144E7"/>
    <w:rsid w:val="00A14E8B"/>
    <w:rsid w:val="00A15D0C"/>
    <w:rsid w:val="00A203AB"/>
    <w:rsid w:val="00A21BE0"/>
    <w:rsid w:val="00A23301"/>
    <w:rsid w:val="00A24AE0"/>
    <w:rsid w:val="00A25224"/>
    <w:rsid w:val="00A2582C"/>
    <w:rsid w:val="00A25A54"/>
    <w:rsid w:val="00A26283"/>
    <w:rsid w:val="00A26C3E"/>
    <w:rsid w:val="00A32139"/>
    <w:rsid w:val="00A326AC"/>
    <w:rsid w:val="00A33BD5"/>
    <w:rsid w:val="00A33C73"/>
    <w:rsid w:val="00A34557"/>
    <w:rsid w:val="00A37560"/>
    <w:rsid w:val="00A37B43"/>
    <w:rsid w:val="00A37BFA"/>
    <w:rsid w:val="00A408C2"/>
    <w:rsid w:val="00A40EA3"/>
    <w:rsid w:val="00A41EC1"/>
    <w:rsid w:val="00A4276E"/>
    <w:rsid w:val="00A42828"/>
    <w:rsid w:val="00A43897"/>
    <w:rsid w:val="00A46010"/>
    <w:rsid w:val="00A4752F"/>
    <w:rsid w:val="00A4774A"/>
    <w:rsid w:val="00A47943"/>
    <w:rsid w:val="00A50003"/>
    <w:rsid w:val="00A50022"/>
    <w:rsid w:val="00A53EA2"/>
    <w:rsid w:val="00A552BD"/>
    <w:rsid w:val="00A555C3"/>
    <w:rsid w:val="00A62272"/>
    <w:rsid w:val="00A64DED"/>
    <w:rsid w:val="00A66555"/>
    <w:rsid w:val="00A67446"/>
    <w:rsid w:val="00A67AAE"/>
    <w:rsid w:val="00A716C0"/>
    <w:rsid w:val="00A71BCE"/>
    <w:rsid w:val="00A730DE"/>
    <w:rsid w:val="00A752F4"/>
    <w:rsid w:val="00A767BD"/>
    <w:rsid w:val="00A76A19"/>
    <w:rsid w:val="00A778AE"/>
    <w:rsid w:val="00A80DB9"/>
    <w:rsid w:val="00A84B1E"/>
    <w:rsid w:val="00A855C7"/>
    <w:rsid w:val="00A862A4"/>
    <w:rsid w:val="00A86F2E"/>
    <w:rsid w:val="00A92750"/>
    <w:rsid w:val="00A93AB6"/>
    <w:rsid w:val="00A95117"/>
    <w:rsid w:val="00A951B0"/>
    <w:rsid w:val="00A968F8"/>
    <w:rsid w:val="00AA2C4C"/>
    <w:rsid w:val="00AA3719"/>
    <w:rsid w:val="00AA5B39"/>
    <w:rsid w:val="00AA61E0"/>
    <w:rsid w:val="00AA7F1B"/>
    <w:rsid w:val="00AB080B"/>
    <w:rsid w:val="00AB0AEC"/>
    <w:rsid w:val="00AB32F1"/>
    <w:rsid w:val="00AB3C03"/>
    <w:rsid w:val="00AB4319"/>
    <w:rsid w:val="00AB46CF"/>
    <w:rsid w:val="00AB634A"/>
    <w:rsid w:val="00AB66F2"/>
    <w:rsid w:val="00AC1479"/>
    <w:rsid w:val="00AC231A"/>
    <w:rsid w:val="00AC2B38"/>
    <w:rsid w:val="00AC4687"/>
    <w:rsid w:val="00AC7860"/>
    <w:rsid w:val="00AD09BF"/>
    <w:rsid w:val="00AD197D"/>
    <w:rsid w:val="00AD6E52"/>
    <w:rsid w:val="00AE0600"/>
    <w:rsid w:val="00AE1691"/>
    <w:rsid w:val="00AE18E4"/>
    <w:rsid w:val="00AE1DFF"/>
    <w:rsid w:val="00AE37ED"/>
    <w:rsid w:val="00AE46DD"/>
    <w:rsid w:val="00AE48D4"/>
    <w:rsid w:val="00AE4D7F"/>
    <w:rsid w:val="00AE5842"/>
    <w:rsid w:val="00AE6508"/>
    <w:rsid w:val="00AE684F"/>
    <w:rsid w:val="00AF1241"/>
    <w:rsid w:val="00AF20BC"/>
    <w:rsid w:val="00AF29E7"/>
    <w:rsid w:val="00AF555B"/>
    <w:rsid w:val="00B00015"/>
    <w:rsid w:val="00B00777"/>
    <w:rsid w:val="00B0095A"/>
    <w:rsid w:val="00B01692"/>
    <w:rsid w:val="00B016C2"/>
    <w:rsid w:val="00B04167"/>
    <w:rsid w:val="00B0445E"/>
    <w:rsid w:val="00B12322"/>
    <w:rsid w:val="00B133E4"/>
    <w:rsid w:val="00B143AD"/>
    <w:rsid w:val="00B154A2"/>
    <w:rsid w:val="00B17FBB"/>
    <w:rsid w:val="00B208F3"/>
    <w:rsid w:val="00B211E9"/>
    <w:rsid w:val="00B2180E"/>
    <w:rsid w:val="00B2222E"/>
    <w:rsid w:val="00B2394D"/>
    <w:rsid w:val="00B26EF4"/>
    <w:rsid w:val="00B2759F"/>
    <w:rsid w:val="00B30828"/>
    <w:rsid w:val="00B328F7"/>
    <w:rsid w:val="00B34297"/>
    <w:rsid w:val="00B34EB8"/>
    <w:rsid w:val="00B35AC4"/>
    <w:rsid w:val="00B3661A"/>
    <w:rsid w:val="00B37681"/>
    <w:rsid w:val="00B37901"/>
    <w:rsid w:val="00B415B3"/>
    <w:rsid w:val="00B42AAA"/>
    <w:rsid w:val="00B42BF6"/>
    <w:rsid w:val="00B44B9C"/>
    <w:rsid w:val="00B46B4F"/>
    <w:rsid w:val="00B4723A"/>
    <w:rsid w:val="00B5016D"/>
    <w:rsid w:val="00B5371B"/>
    <w:rsid w:val="00B53FC2"/>
    <w:rsid w:val="00B5518D"/>
    <w:rsid w:val="00B55855"/>
    <w:rsid w:val="00B559A3"/>
    <w:rsid w:val="00B56ABA"/>
    <w:rsid w:val="00B574A4"/>
    <w:rsid w:val="00B579C0"/>
    <w:rsid w:val="00B6047F"/>
    <w:rsid w:val="00B61001"/>
    <w:rsid w:val="00B6183D"/>
    <w:rsid w:val="00B62F36"/>
    <w:rsid w:val="00B631AF"/>
    <w:rsid w:val="00B648D1"/>
    <w:rsid w:val="00B64E7B"/>
    <w:rsid w:val="00B65A3A"/>
    <w:rsid w:val="00B65B49"/>
    <w:rsid w:val="00B6628E"/>
    <w:rsid w:val="00B66E06"/>
    <w:rsid w:val="00B7144D"/>
    <w:rsid w:val="00B742CF"/>
    <w:rsid w:val="00B7621C"/>
    <w:rsid w:val="00B80772"/>
    <w:rsid w:val="00B80A17"/>
    <w:rsid w:val="00B80EEF"/>
    <w:rsid w:val="00B813D2"/>
    <w:rsid w:val="00B817BD"/>
    <w:rsid w:val="00B83E79"/>
    <w:rsid w:val="00B84221"/>
    <w:rsid w:val="00B8443D"/>
    <w:rsid w:val="00B84C63"/>
    <w:rsid w:val="00B87594"/>
    <w:rsid w:val="00B907D1"/>
    <w:rsid w:val="00B91FF6"/>
    <w:rsid w:val="00B92D61"/>
    <w:rsid w:val="00B93621"/>
    <w:rsid w:val="00B94238"/>
    <w:rsid w:val="00B95198"/>
    <w:rsid w:val="00BA0D88"/>
    <w:rsid w:val="00BA1EA1"/>
    <w:rsid w:val="00BA2053"/>
    <w:rsid w:val="00BA2B89"/>
    <w:rsid w:val="00BA4CAC"/>
    <w:rsid w:val="00BA4E93"/>
    <w:rsid w:val="00BA6A41"/>
    <w:rsid w:val="00BA77F1"/>
    <w:rsid w:val="00BB16EC"/>
    <w:rsid w:val="00BB2409"/>
    <w:rsid w:val="00BB3304"/>
    <w:rsid w:val="00BC0770"/>
    <w:rsid w:val="00BC10C3"/>
    <w:rsid w:val="00BC179F"/>
    <w:rsid w:val="00BC25C4"/>
    <w:rsid w:val="00BC2996"/>
    <w:rsid w:val="00BC3764"/>
    <w:rsid w:val="00BC4B35"/>
    <w:rsid w:val="00BC66B9"/>
    <w:rsid w:val="00BD1743"/>
    <w:rsid w:val="00BD1832"/>
    <w:rsid w:val="00BD22B5"/>
    <w:rsid w:val="00BD34A6"/>
    <w:rsid w:val="00BD3569"/>
    <w:rsid w:val="00BD3683"/>
    <w:rsid w:val="00BE0ABA"/>
    <w:rsid w:val="00BE3160"/>
    <w:rsid w:val="00BE4035"/>
    <w:rsid w:val="00BE6234"/>
    <w:rsid w:val="00BE78E9"/>
    <w:rsid w:val="00BF1912"/>
    <w:rsid w:val="00BF1D47"/>
    <w:rsid w:val="00BF44BB"/>
    <w:rsid w:val="00BF75D3"/>
    <w:rsid w:val="00C005B8"/>
    <w:rsid w:val="00C0150F"/>
    <w:rsid w:val="00C01930"/>
    <w:rsid w:val="00C02AD8"/>
    <w:rsid w:val="00C0332A"/>
    <w:rsid w:val="00C035BB"/>
    <w:rsid w:val="00C04894"/>
    <w:rsid w:val="00C04C29"/>
    <w:rsid w:val="00C05504"/>
    <w:rsid w:val="00C07002"/>
    <w:rsid w:val="00C12A0B"/>
    <w:rsid w:val="00C154A5"/>
    <w:rsid w:val="00C15BAE"/>
    <w:rsid w:val="00C15E7E"/>
    <w:rsid w:val="00C17791"/>
    <w:rsid w:val="00C17F8C"/>
    <w:rsid w:val="00C279A8"/>
    <w:rsid w:val="00C27BC9"/>
    <w:rsid w:val="00C32761"/>
    <w:rsid w:val="00C33581"/>
    <w:rsid w:val="00C33FC0"/>
    <w:rsid w:val="00C351AE"/>
    <w:rsid w:val="00C36727"/>
    <w:rsid w:val="00C37244"/>
    <w:rsid w:val="00C40623"/>
    <w:rsid w:val="00C43F4F"/>
    <w:rsid w:val="00C47B46"/>
    <w:rsid w:val="00C51286"/>
    <w:rsid w:val="00C51947"/>
    <w:rsid w:val="00C51DBC"/>
    <w:rsid w:val="00C53C0F"/>
    <w:rsid w:val="00C5581B"/>
    <w:rsid w:val="00C55EAC"/>
    <w:rsid w:val="00C55FA1"/>
    <w:rsid w:val="00C5665F"/>
    <w:rsid w:val="00C5666E"/>
    <w:rsid w:val="00C57132"/>
    <w:rsid w:val="00C6083A"/>
    <w:rsid w:val="00C610EF"/>
    <w:rsid w:val="00C6124C"/>
    <w:rsid w:val="00C62368"/>
    <w:rsid w:val="00C6674F"/>
    <w:rsid w:val="00C670B4"/>
    <w:rsid w:val="00C702B6"/>
    <w:rsid w:val="00C70B19"/>
    <w:rsid w:val="00C7158D"/>
    <w:rsid w:val="00C7207F"/>
    <w:rsid w:val="00C73678"/>
    <w:rsid w:val="00C73BD1"/>
    <w:rsid w:val="00C7439B"/>
    <w:rsid w:val="00C8108E"/>
    <w:rsid w:val="00C8497B"/>
    <w:rsid w:val="00C85C34"/>
    <w:rsid w:val="00C861C1"/>
    <w:rsid w:val="00C87268"/>
    <w:rsid w:val="00C90722"/>
    <w:rsid w:val="00C91732"/>
    <w:rsid w:val="00C920B6"/>
    <w:rsid w:val="00C92330"/>
    <w:rsid w:val="00C92EC0"/>
    <w:rsid w:val="00C93F2B"/>
    <w:rsid w:val="00C954DE"/>
    <w:rsid w:val="00C96540"/>
    <w:rsid w:val="00CA2308"/>
    <w:rsid w:val="00CA29C3"/>
    <w:rsid w:val="00CB0310"/>
    <w:rsid w:val="00CB0800"/>
    <w:rsid w:val="00CB2780"/>
    <w:rsid w:val="00CB2FAA"/>
    <w:rsid w:val="00CB4C8D"/>
    <w:rsid w:val="00CB75E8"/>
    <w:rsid w:val="00CC1901"/>
    <w:rsid w:val="00CC2E32"/>
    <w:rsid w:val="00CC347F"/>
    <w:rsid w:val="00CC4587"/>
    <w:rsid w:val="00CC4869"/>
    <w:rsid w:val="00CC49A7"/>
    <w:rsid w:val="00CC4CEC"/>
    <w:rsid w:val="00CC6FA0"/>
    <w:rsid w:val="00CC75D2"/>
    <w:rsid w:val="00CD347E"/>
    <w:rsid w:val="00CD6AD5"/>
    <w:rsid w:val="00CD76D2"/>
    <w:rsid w:val="00CD7B6A"/>
    <w:rsid w:val="00CE024B"/>
    <w:rsid w:val="00CE0B2E"/>
    <w:rsid w:val="00CE10DA"/>
    <w:rsid w:val="00CE1315"/>
    <w:rsid w:val="00CE3863"/>
    <w:rsid w:val="00CE516B"/>
    <w:rsid w:val="00CE5802"/>
    <w:rsid w:val="00CE5FFA"/>
    <w:rsid w:val="00CE6810"/>
    <w:rsid w:val="00CF0660"/>
    <w:rsid w:val="00CF06E3"/>
    <w:rsid w:val="00CF1A49"/>
    <w:rsid w:val="00CF28EA"/>
    <w:rsid w:val="00CF414F"/>
    <w:rsid w:val="00CF471B"/>
    <w:rsid w:val="00CF5F8C"/>
    <w:rsid w:val="00CF684B"/>
    <w:rsid w:val="00CF7F9D"/>
    <w:rsid w:val="00D01238"/>
    <w:rsid w:val="00D01655"/>
    <w:rsid w:val="00D02DA7"/>
    <w:rsid w:val="00D02E6A"/>
    <w:rsid w:val="00D032CB"/>
    <w:rsid w:val="00D033B4"/>
    <w:rsid w:val="00D036E8"/>
    <w:rsid w:val="00D0385F"/>
    <w:rsid w:val="00D047DC"/>
    <w:rsid w:val="00D05323"/>
    <w:rsid w:val="00D07BD6"/>
    <w:rsid w:val="00D113E5"/>
    <w:rsid w:val="00D1239C"/>
    <w:rsid w:val="00D1288E"/>
    <w:rsid w:val="00D129B7"/>
    <w:rsid w:val="00D12BE3"/>
    <w:rsid w:val="00D161D2"/>
    <w:rsid w:val="00D163ED"/>
    <w:rsid w:val="00D174EA"/>
    <w:rsid w:val="00D178E8"/>
    <w:rsid w:val="00D17B2A"/>
    <w:rsid w:val="00D17E18"/>
    <w:rsid w:val="00D17E66"/>
    <w:rsid w:val="00D249EC"/>
    <w:rsid w:val="00D26CBC"/>
    <w:rsid w:val="00D27C50"/>
    <w:rsid w:val="00D27DAE"/>
    <w:rsid w:val="00D33D30"/>
    <w:rsid w:val="00D34592"/>
    <w:rsid w:val="00D3490C"/>
    <w:rsid w:val="00D35BE3"/>
    <w:rsid w:val="00D35E11"/>
    <w:rsid w:val="00D36BE1"/>
    <w:rsid w:val="00D376D1"/>
    <w:rsid w:val="00D41A85"/>
    <w:rsid w:val="00D41FE0"/>
    <w:rsid w:val="00D42428"/>
    <w:rsid w:val="00D4334C"/>
    <w:rsid w:val="00D44208"/>
    <w:rsid w:val="00D448C8"/>
    <w:rsid w:val="00D459A3"/>
    <w:rsid w:val="00D4671F"/>
    <w:rsid w:val="00D5063D"/>
    <w:rsid w:val="00D50869"/>
    <w:rsid w:val="00D5327C"/>
    <w:rsid w:val="00D53B05"/>
    <w:rsid w:val="00D61EE7"/>
    <w:rsid w:val="00D64DC7"/>
    <w:rsid w:val="00D64F5B"/>
    <w:rsid w:val="00D72E47"/>
    <w:rsid w:val="00D72FD3"/>
    <w:rsid w:val="00D73F79"/>
    <w:rsid w:val="00D73F8E"/>
    <w:rsid w:val="00D762A3"/>
    <w:rsid w:val="00D7640B"/>
    <w:rsid w:val="00D80C01"/>
    <w:rsid w:val="00D82BE3"/>
    <w:rsid w:val="00D82F41"/>
    <w:rsid w:val="00D86AA8"/>
    <w:rsid w:val="00D8760B"/>
    <w:rsid w:val="00D8761C"/>
    <w:rsid w:val="00D876B7"/>
    <w:rsid w:val="00D878EC"/>
    <w:rsid w:val="00D90418"/>
    <w:rsid w:val="00D909F7"/>
    <w:rsid w:val="00D92AA9"/>
    <w:rsid w:val="00D93B50"/>
    <w:rsid w:val="00D93C09"/>
    <w:rsid w:val="00D94871"/>
    <w:rsid w:val="00D94E9E"/>
    <w:rsid w:val="00D973DA"/>
    <w:rsid w:val="00DA35A8"/>
    <w:rsid w:val="00DA56CB"/>
    <w:rsid w:val="00DA5F02"/>
    <w:rsid w:val="00DA6094"/>
    <w:rsid w:val="00DA701A"/>
    <w:rsid w:val="00DA7EC2"/>
    <w:rsid w:val="00DB34D6"/>
    <w:rsid w:val="00DB56F9"/>
    <w:rsid w:val="00DB5BD4"/>
    <w:rsid w:val="00DB60DE"/>
    <w:rsid w:val="00DB7A71"/>
    <w:rsid w:val="00DC187D"/>
    <w:rsid w:val="00DC1F3E"/>
    <w:rsid w:val="00DC208F"/>
    <w:rsid w:val="00DC2BE4"/>
    <w:rsid w:val="00DC3419"/>
    <w:rsid w:val="00DC6D35"/>
    <w:rsid w:val="00DD20F3"/>
    <w:rsid w:val="00DD2CA5"/>
    <w:rsid w:val="00DD487C"/>
    <w:rsid w:val="00DD4C9A"/>
    <w:rsid w:val="00DD680B"/>
    <w:rsid w:val="00DD6FF0"/>
    <w:rsid w:val="00DE0CC4"/>
    <w:rsid w:val="00DE0E3D"/>
    <w:rsid w:val="00DE1233"/>
    <w:rsid w:val="00DE1ABF"/>
    <w:rsid w:val="00DE3251"/>
    <w:rsid w:val="00DE653D"/>
    <w:rsid w:val="00DF0023"/>
    <w:rsid w:val="00DF20E6"/>
    <w:rsid w:val="00DF3F11"/>
    <w:rsid w:val="00DF47A1"/>
    <w:rsid w:val="00DF5D20"/>
    <w:rsid w:val="00DF5FAA"/>
    <w:rsid w:val="00DF68F4"/>
    <w:rsid w:val="00E021CC"/>
    <w:rsid w:val="00E068E8"/>
    <w:rsid w:val="00E06951"/>
    <w:rsid w:val="00E071BB"/>
    <w:rsid w:val="00E10BBA"/>
    <w:rsid w:val="00E11B0A"/>
    <w:rsid w:val="00E11CD9"/>
    <w:rsid w:val="00E1280D"/>
    <w:rsid w:val="00E1329D"/>
    <w:rsid w:val="00E13835"/>
    <w:rsid w:val="00E150E0"/>
    <w:rsid w:val="00E162CA"/>
    <w:rsid w:val="00E17513"/>
    <w:rsid w:val="00E20EED"/>
    <w:rsid w:val="00E221D6"/>
    <w:rsid w:val="00E2299A"/>
    <w:rsid w:val="00E26E45"/>
    <w:rsid w:val="00E27585"/>
    <w:rsid w:val="00E3047E"/>
    <w:rsid w:val="00E31844"/>
    <w:rsid w:val="00E32049"/>
    <w:rsid w:val="00E33471"/>
    <w:rsid w:val="00E359C6"/>
    <w:rsid w:val="00E364CD"/>
    <w:rsid w:val="00E407F5"/>
    <w:rsid w:val="00E41844"/>
    <w:rsid w:val="00E41A1F"/>
    <w:rsid w:val="00E445CB"/>
    <w:rsid w:val="00E44676"/>
    <w:rsid w:val="00E46337"/>
    <w:rsid w:val="00E46C01"/>
    <w:rsid w:val="00E47FDB"/>
    <w:rsid w:val="00E514D5"/>
    <w:rsid w:val="00E536F7"/>
    <w:rsid w:val="00E54CAF"/>
    <w:rsid w:val="00E56157"/>
    <w:rsid w:val="00E5784D"/>
    <w:rsid w:val="00E600A4"/>
    <w:rsid w:val="00E61C2C"/>
    <w:rsid w:val="00E634CC"/>
    <w:rsid w:val="00E66D1D"/>
    <w:rsid w:val="00E72376"/>
    <w:rsid w:val="00E75181"/>
    <w:rsid w:val="00E802AB"/>
    <w:rsid w:val="00E8048D"/>
    <w:rsid w:val="00E809DB"/>
    <w:rsid w:val="00E81030"/>
    <w:rsid w:val="00E81E5A"/>
    <w:rsid w:val="00E828D7"/>
    <w:rsid w:val="00E84744"/>
    <w:rsid w:val="00E85428"/>
    <w:rsid w:val="00E9163D"/>
    <w:rsid w:val="00E935D8"/>
    <w:rsid w:val="00E93F24"/>
    <w:rsid w:val="00E94EB4"/>
    <w:rsid w:val="00E94EC3"/>
    <w:rsid w:val="00EA0261"/>
    <w:rsid w:val="00EA227C"/>
    <w:rsid w:val="00EA23EF"/>
    <w:rsid w:val="00EA53B9"/>
    <w:rsid w:val="00EA7955"/>
    <w:rsid w:val="00EB2561"/>
    <w:rsid w:val="00EB35CD"/>
    <w:rsid w:val="00EB4844"/>
    <w:rsid w:val="00EB5208"/>
    <w:rsid w:val="00EB63F4"/>
    <w:rsid w:val="00EB6FB1"/>
    <w:rsid w:val="00EB76A0"/>
    <w:rsid w:val="00EB774D"/>
    <w:rsid w:val="00EB79BF"/>
    <w:rsid w:val="00EC1C45"/>
    <w:rsid w:val="00EC35EC"/>
    <w:rsid w:val="00EC3AC7"/>
    <w:rsid w:val="00EE214A"/>
    <w:rsid w:val="00EE367C"/>
    <w:rsid w:val="00EE3902"/>
    <w:rsid w:val="00EE637D"/>
    <w:rsid w:val="00EF2D1C"/>
    <w:rsid w:val="00EF3C1C"/>
    <w:rsid w:val="00EF5E33"/>
    <w:rsid w:val="00EF7D4A"/>
    <w:rsid w:val="00F02BAC"/>
    <w:rsid w:val="00F03F9A"/>
    <w:rsid w:val="00F04FA7"/>
    <w:rsid w:val="00F060AA"/>
    <w:rsid w:val="00F0663F"/>
    <w:rsid w:val="00F0705A"/>
    <w:rsid w:val="00F12044"/>
    <w:rsid w:val="00F12351"/>
    <w:rsid w:val="00F12DD8"/>
    <w:rsid w:val="00F161D9"/>
    <w:rsid w:val="00F1637C"/>
    <w:rsid w:val="00F179C5"/>
    <w:rsid w:val="00F21A25"/>
    <w:rsid w:val="00F225E1"/>
    <w:rsid w:val="00F230C7"/>
    <w:rsid w:val="00F237A6"/>
    <w:rsid w:val="00F23C35"/>
    <w:rsid w:val="00F242A7"/>
    <w:rsid w:val="00F25295"/>
    <w:rsid w:val="00F255F6"/>
    <w:rsid w:val="00F25C54"/>
    <w:rsid w:val="00F25C87"/>
    <w:rsid w:val="00F327C6"/>
    <w:rsid w:val="00F3284D"/>
    <w:rsid w:val="00F334B9"/>
    <w:rsid w:val="00F35B6F"/>
    <w:rsid w:val="00F404EA"/>
    <w:rsid w:val="00F41C93"/>
    <w:rsid w:val="00F42346"/>
    <w:rsid w:val="00F44550"/>
    <w:rsid w:val="00F47198"/>
    <w:rsid w:val="00F5183A"/>
    <w:rsid w:val="00F51BC1"/>
    <w:rsid w:val="00F5426C"/>
    <w:rsid w:val="00F5488B"/>
    <w:rsid w:val="00F56A91"/>
    <w:rsid w:val="00F56E99"/>
    <w:rsid w:val="00F57A40"/>
    <w:rsid w:val="00F57A4C"/>
    <w:rsid w:val="00F606E8"/>
    <w:rsid w:val="00F60A6E"/>
    <w:rsid w:val="00F60F2A"/>
    <w:rsid w:val="00F61AA7"/>
    <w:rsid w:val="00F62A69"/>
    <w:rsid w:val="00F6484A"/>
    <w:rsid w:val="00F6503A"/>
    <w:rsid w:val="00F6694F"/>
    <w:rsid w:val="00F66A26"/>
    <w:rsid w:val="00F6786E"/>
    <w:rsid w:val="00F7144D"/>
    <w:rsid w:val="00F71499"/>
    <w:rsid w:val="00F728F1"/>
    <w:rsid w:val="00F7328D"/>
    <w:rsid w:val="00F768A5"/>
    <w:rsid w:val="00F77097"/>
    <w:rsid w:val="00F773C3"/>
    <w:rsid w:val="00F77CEF"/>
    <w:rsid w:val="00F812D1"/>
    <w:rsid w:val="00F82187"/>
    <w:rsid w:val="00F8348D"/>
    <w:rsid w:val="00F83A31"/>
    <w:rsid w:val="00F83C56"/>
    <w:rsid w:val="00F8404A"/>
    <w:rsid w:val="00F85BAB"/>
    <w:rsid w:val="00F86388"/>
    <w:rsid w:val="00F86F44"/>
    <w:rsid w:val="00F87B15"/>
    <w:rsid w:val="00F91371"/>
    <w:rsid w:val="00F93886"/>
    <w:rsid w:val="00F95B64"/>
    <w:rsid w:val="00FA0DF5"/>
    <w:rsid w:val="00FA18BE"/>
    <w:rsid w:val="00FA235D"/>
    <w:rsid w:val="00FB02C1"/>
    <w:rsid w:val="00FB0F0D"/>
    <w:rsid w:val="00FB156E"/>
    <w:rsid w:val="00FB3711"/>
    <w:rsid w:val="00FB4E1A"/>
    <w:rsid w:val="00FB5D68"/>
    <w:rsid w:val="00FB5F8B"/>
    <w:rsid w:val="00FB69BC"/>
    <w:rsid w:val="00FB7387"/>
    <w:rsid w:val="00FB79A5"/>
    <w:rsid w:val="00FC1602"/>
    <w:rsid w:val="00FC33EE"/>
    <w:rsid w:val="00FD0026"/>
    <w:rsid w:val="00FD2150"/>
    <w:rsid w:val="00FD2487"/>
    <w:rsid w:val="00FD474E"/>
    <w:rsid w:val="00FE0927"/>
    <w:rsid w:val="00FE20A2"/>
    <w:rsid w:val="00FE4A46"/>
    <w:rsid w:val="00FE6249"/>
    <w:rsid w:val="00FF07EE"/>
    <w:rsid w:val="00FF1321"/>
    <w:rsid w:val="00FF2489"/>
    <w:rsid w:val="00FF65BB"/>
    <w:rsid w:val="00FF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66B8"/>
  <w15:chartTrackingRefBased/>
  <w15:docId w15:val="{BA959D71-D1E4-454C-9EAD-8C57E94B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HAns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26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C726E"/>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726E"/>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726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726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C726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C726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C726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C726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C726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26E"/>
    <w:rPr>
      <w:rFonts w:eastAsiaTheme="majorEastAsia"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26E"/>
    <w:rPr>
      <w:rFonts w:eastAsiaTheme="majorEastAsia"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726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26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C726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C72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C72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C72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C72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C726E"/>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C726E"/>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7C726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2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C726E"/>
    <w:pPr>
      <w:spacing w:before="160"/>
      <w:jc w:val="center"/>
    </w:pPr>
    <w:rPr>
      <w:i/>
      <w:iCs/>
      <w:color w:val="404040" w:themeColor="text1" w:themeTint="BF"/>
    </w:rPr>
  </w:style>
  <w:style w:type="character" w:customStyle="1" w:styleId="QuoteChar">
    <w:name w:val="Quote Char"/>
    <w:basedOn w:val="DefaultParagraphFont"/>
    <w:link w:val="Quote"/>
    <w:uiPriority w:val="29"/>
    <w:rsid w:val="007C726E"/>
    <w:rPr>
      <w:i/>
      <w:iCs/>
      <w:color w:val="404040" w:themeColor="text1" w:themeTint="BF"/>
    </w:rPr>
  </w:style>
  <w:style w:type="paragraph" w:styleId="ListParagraph">
    <w:name w:val="List Paragraph"/>
    <w:basedOn w:val="Normal"/>
    <w:uiPriority w:val="34"/>
    <w:qFormat/>
    <w:rsid w:val="007C726E"/>
    <w:pPr>
      <w:ind w:left="720"/>
      <w:contextualSpacing/>
    </w:pPr>
  </w:style>
  <w:style w:type="character" w:styleId="IntenseEmphasis">
    <w:name w:val="Intense Emphasis"/>
    <w:basedOn w:val="DefaultParagraphFont"/>
    <w:uiPriority w:val="21"/>
    <w:qFormat/>
    <w:rsid w:val="007C726E"/>
    <w:rPr>
      <w:i/>
      <w:iCs/>
      <w:color w:val="0F4761" w:themeColor="accent1" w:themeShade="BF"/>
    </w:rPr>
  </w:style>
  <w:style w:type="paragraph" w:styleId="IntenseQuote">
    <w:name w:val="Intense Quote"/>
    <w:basedOn w:val="Normal"/>
    <w:next w:val="Normal"/>
    <w:link w:val="IntenseQuoteChar"/>
    <w:uiPriority w:val="30"/>
    <w:qFormat/>
    <w:rsid w:val="007C7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726E"/>
    <w:rPr>
      <w:i/>
      <w:iCs/>
      <w:color w:val="0F4761" w:themeColor="accent1" w:themeShade="BF"/>
    </w:rPr>
  </w:style>
  <w:style w:type="character" w:styleId="IntenseReference">
    <w:name w:val="Intense Reference"/>
    <w:basedOn w:val="DefaultParagraphFont"/>
    <w:uiPriority w:val="32"/>
    <w:qFormat/>
    <w:rsid w:val="007C726E"/>
    <w:rPr>
      <w:b/>
      <w:bCs/>
      <w:smallCaps/>
      <w:color w:val="0F4761" w:themeColor="accent1" w:themeShade="BF"/>
      <w:spacing w:val="5"/>
    </w:rPr>
  </w:style>
  <w:style w:type="paragraph" w:styleId="Header">
    <w:name w:val="header"/>
    <w:basedOn w:val="Normal"/>
    <w:link w:val="HeaderChar"/>
    <w:uiPriority w:val="99"/>
    <w:unhideWhenUsed/>
    <w:rsid w:val="007C726E"/>
    <w:pPr>
      <w:tabs>
        <w:tab w:val="center" w:pos="4680"/>
        <w:tab w:val="right" w:pos="9360"/>
      </w:tabs>
    </w:pPr>
  </w:style>
  <w:style w:type="character" w:customStyle="1" w:styleId="HeaderChar">
    <w:name w:val="Header Char"/>
    <w:basedOn w:val="DefaultParagraphFont"/>
    <w:link w:val="Header"/>
    <w:uiPriority w:val="99"/>
    <w:rsid w:val="007C726E"/>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C726E"/>
    <w:pPr>
      <w:tabs>
        <w:tab w:val="center" w:pos="4680"/>
        <w:tab w:val="right" w:pos="9360"/>
      </w:tabs>
    </w:pPr>
  </w:style>
  <w:style w:type="character" w:customStyle="1" w:styleId="FooterChar">
    <w:name w:val="Footer Char"/>
    <w:basedOn w:val="DefaultParagraphFont"/>
    <w:link w:val="Footer"/>
    <w:uiPriority w:val="99"/>
    <w:rsid w:val="007C726E"/>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F60A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309139">
      <w:bodyDiv w:val="1"/>
      <w:marLeft w:val="0"/>
      <w:marRight w:val="0"/>
      <w:marTop w:val="0"/>
      <w:marBottom w:val="0"/>
      <w:divBdr>
        <w:top w:val="none" w:sz="0" w:space="0" w:color="auto"/>
        <w:left w:val="none" w:sz="0" w:space="0" w:color="auto"/>
        <w:bottom w:val="none" w:sz="0" w:space="0" w:color="auto"/>
        <w:right w:val="none" w:sz="0" w:space="0" w:color="auto"/>
      </w:divBdr>
      <w:divsChild>
        <w:div w:id="204029997">
          <w:marLeft w:val="0"/>
          <w:marRight w:val="0"/>
          <w:marTop w:val="0"/>
          <w:marBottom w:val="0"/>
          <w:divBdr>
            <w:top w:val="none" w:sz="0" w:space="0" w:color="3D3D3D"/>
            <w:left w:val="none" w:sz="0" w:space="0" w:color="3D3D3D"/>
            <w:bottom w:val="none" w:sz="0" w:space="0" w:color="3D3D3D"/>
            <w:right w:val="none" w:sz="0" w:space="0" w:color="3D3D3D"/>
          </w:divBdr>
        </w:div>
      </w:divsChild>
    </w:div>
    <w:div w:id="519784689">
      <w:bodyDiv w:val="1"/>
      <w:marLeft w:val="0"/>
      <w:marRight w:val="0"/>
      <w:marTop w:val="0"/>
      <w:marBottom w:val="0"/>
      <w:divBdr>
        <w:top w:val="none" w:sz="0" w:space="0" w:color="auto"/>
        <w:left w:val="none" w:sz="0" w:space="0" w:color="auto"/>
        <w:bottom w:val="none" w:sz="0" w:space="0" w:color="auto"/>
        <w:right w:val="none" w:sz="0" w:space="0" w:color="auto"/>
      </w:divBdr>
      <w:divsChild>
        <w:div w:id="1254363952">
          <w:marLeft w:val="0"/>
          <w:marRight w:val="0"/>
          <w:marTop w:val="0"/>
          <w:marBottom w:val="0"/>
          <w:divBdr>
            <w:top w:val="none" w:sz="0" w:space="0" w:color="3D3D3D"/>
            <w:left w:val="none" w:sz="0" w:space="0" w:color="3D3D3D"/>
            <w:bottom w:val="none" w:sz="0" w:space="0" w:color="3D3D3D"/>
            <w:right w:val="none" w:sz="0" w:space="0" w:color="3D3D3D"/>
          </w:divBdr>
          <w:divsChild>
            <w:div w:id="1481815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14509568">
      <w:bodyDiv w:val="1"/>
      <w:marLeft w:val="0"/>
      <w:marRight w:val="0"/>
      <w:marTop w:val="0"/>
      <w:marBottom w:val="0"/>
      <w:divBdr>
        <w:top w:val="none" w:sz="0" w:space="0" w:color="auto"/>
        <w:left w:val="none" w:sz="0" w:space="0" w:color="auto"/>
        <w:bottom w:val="none" w:sz="0" w:space="0" w:color="auto"/>
        <w:right w:val="none" w:sz="0" w:space="0" w:color="auto"/>
      </w:divBdr>
      <w:divsChild>
        <w:div w:id="712074832">
          <w:marLeft w:val="0"/>
          <w:marRight w:val="0"/>
          <w:marTop w:val="0"/>
          <w:marBottom w:val="0"/>
          <w:divBdr>
            <w:top w:val="none" w:sz="0" w:space="0" w:color="3D3D3D"/>
            <w:left w:val="none" w:sz="0" w:space="0" w:color="3D3D3D"/>
            <w:bottom w:val="none" w:sz="0" w:space="0" w:color="3D3D3D"/>
            <w:right w:val="none" w:sz="0" w:space="0" w:color="3D3D3D"/>
          </w:divBdr>
        </w:div>
      </w:divsChild>
    </w:div>
    <w:div w:id="980815734">
      <w:bodyDiv w:val="1"/>
      <w:marLeft w:val="0"/>
      <w:marRight w:val="0"/>
      <w:marTop w:val="0"/>
      <w:marBottom w:val="0"/>
      <w:divBdr>
        <w:top w:val="none" w:sz="0" w:space="0" w:color="auto"/>
        <w:left w:val="none" w:sz="0" w:space="0" w:color="auto"/>
        <w:bottom w:val="none" w:sz="0" w:space="0" w:color="auto"/>
        <w:right w:val="none" w:sz="0" w:space="0" w:color="auto"/>
      </w:divBdr>
      <w:divsChild>
        <w:div w:id="2133405377">
          <w:marLeft w:val="0"/>
          <w:marRight w:val="0"/>
          <w:marTop w:val="0"/>
          <w:marBottom w:val="0"/>
          <w:divBdr>
            <w:top w:val="none" w:sz="0" w:space="0" w:color="3D3D3D"/>
            <w:left w:val="none" w:sz="0" w:space="0" w:color="3D3D3D"/>
            <w:bottom w:val="none" w:sz="0" w:space="0" w:color="3D3D3D"/>
            <w:right w:val="none" w:sz="0" w:space="0" w:color="3D3D3D"/>
          </w:divBdr>
          <w:divsChild>
            <w:div w:id="33824061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57358721">
      <w:bodyDiv w:val="1"/>
      <w:marLeft w:val="0"/>
      <w:marRight w:val="0"/>
      <w:marTop w:val="0"/>
      <w:marBottom w:val="0"/>
      <w:divBdr>
        <w:top w:val="none" w:sz="0" w:space="0" w:color="auto"/>
        <w:left w:val="none" w:sz="0" w:space="0" w:color="auto"/>
        <w:bottom w:val="none" w:sz="0" w:space="0" w:color="auto"/>
        <w:right w:val="none" w:sz="0" w:space="0" w:color="auto"/>
      </w:divBdr>
      <w:divsChild>
        <w:div w:id="2093041774">
          <w:marLeft w:val="0"/>
          <w:marRight w:val="0"/>
          <w:marTop w:val="0"/>
          <w:marBottom w:val="0"/>
          <w:divBdr>
            <w:top w:val="none" w:sz="0" w:space="0" w:color="3D3D3D"/>
            <w:left w:val="none" w:sz="0" w:space="0" w:color="3D3D3D"/>
            <w:bottom w:val="none" w:sz="0" w:space="0" w:color="3D3D3D"/>
            <w:right w:val="none" w:sz="0" w:space="0" w:color="3D3D3D"/>
          </w:divBdr>
          <w:divsChild>
            <w:div w:id="32697782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91897582">
      <w:bodyDiv w:val="1"/>
      <w:marLeft w:val="0"/>
      <w:marRight w:val="0"/>
      <w:marTop w:val="0"/>
      <w:marBottom w:val="0"/>
      <w:divBdr>
        <w:top w:val="none" w:sz="0" w:space="0" w:color="auto"/>
        <w:left w:val="none" w:sz="0" w:space="0" w:color="auto"/>
        <w:bottom w:val="none" w:sz="0" w:space="0" w:color="auto"/>
        <w:right w:val="none" w:sz="0" w:space="0" w:color="auto"/>
      </w:divBdr>
      <w:divsChild>
        <w:div w:id="1263415324">
          <w:marLeft w:val="0"/>
          <w:marRight w:val="0"/>
          <w:marTop w:val="0"/>
          <w:marBottom w:val="0"/>
          <w:divBdr>
            <w:top w:val="none" w:sz="0" w:space="0" w:color="3D3D3D"/>
            <w:left w:val="none" w:sz="0" w:space="0" w:color="3D3D3D"/>
            <w:bottom w:val="none" w:sz="0" w:space="0" w:color="3D3D3D"/>
            <w:right w:val="none" w:sz="0" w:space="0" w:color="3D3D3D"/>
          </w:divBdr>
        </w:div>
      </w:divsChild>
    </w:div>
    <w:div w:id="1155147523">
      <w:bodyDiv w:val="1"/>
      <w:marLeft w:val="0"/>
      <w:marRight w:val="0"/>
      <w:marTop w:val="0"/>
      <w:marBottom w:val="0"/>
      <w:divBdr>
        <w:top w:val="none" w:sz="0" w:space="0" w:color="auto"/>
        <w:left w:val="none" w:sz="0" w:space="0" w:color="auto"/>
        <w:bottom w:val="none" w:sz="0" w:space="0" w:color="auto"/>
        <w:right w:val="none" w:sz="0" w:space="0" w:color="auto"/>
      </w:divBdr>
      <w:divsChild>
        <w:div w:id="992829408">
          <w:marLeft w:val="0"/>
          <w:marRight w:val="0"/>
          <w:marTop w:val="0"/>
          <w:marBottom w:val="0"/>
          <w:divBdr>
            <w:top w:val="none" w:sz="0" w:space="0" w:color="3D3D3D"/>
            <w:left w:val="none" w:sz="0" w:space="0" w:color="3D3D3D"/>
            <w:bottom w:val="none" w:sz="0" w:space="0" w:color="3D3D3D"/>
            <w:right w:val="none" w:sz="0" w:space="0" w:color="3D3D3D"/>
          </w:divBdr>
          <w:divsChild>
            <w:div w:id="105277348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61044352">
      <w:bodyDiv w:val="1"/>
      <w:marLeft w:val="0"/>
      <w:marRight w:val="0"/>
      <w:marTop w:val="0"/>
      <w:marBottom w:val="0"/>
      <w:divBdr>
        <w:top w:val="none" w:sz="0" w:space="0" w:color="auto"/>
        <w:left w:val="none" w:sz="0" w:space="0" w:color="auto"/>
        <w:bottom w:val="none" w:sz="0" w:space="0" w:color="auto"/>
        <w:right w:val="none" w:sz="0" w:space="0" w:color="auto"/>
      </w:divBdr>
      <w:divsChild>
        <w:div w:id="466049479">
          <w:marLeft w:val="0"/>
          <w:marRight w:val="0"/>
          <w:marTop w:val="0"/>
          <w:marBottom w:val="0"/>
          <w:divBdr>
            <w:top w:val="none" w:sz="0" w:space="0" w:color="3D3D3D"/>
            <w:left w:val="none" w:sz="0" w:space="0" w:color="3D3D3D"/>
            <w:bottom w:val="none" w:sz="0" w:space="0" w:color="3D3D3D"/>
            <w:right w:val="none" w:sz="0" w:space="0" w:color="3D3D3D"/>
          </w:divBdr>
        </w:div>
      </w:divsChild>
    </w:div>
    <w:div w:id="1272274780">
      <w:bodyDiv w:val="1"/>
      <w:marLeft w:val="0"/>
      <w:marRight w:val="0"/>
      <w:marTop w:val="0"/>
      <w:marBottom w:val="0"/>
      <w:divBdr>
        <w:top w:val="none" w:sz="0" w:space="0" w:color="auto"/>
        <w:left w:val="none" w:sz="0" w:space="0" w:color="auto"/>
        <w:bottom w:val="none" w:sz="0" w:space="0" w:color="auto"/>
        <w:right w:val="none" w:sz="0" w:space="0" w:color="auto"/>
      </w:divBdr>
      <w:divsChild>
        <w:div w:id="1851328695">
          <w:marLeft w:val="0"/>
          <w:marRight w:val="0"/>
          <w:marTop w:val="0"/>
          <w:marBottom w:val="0"/>
          <w:divBdr>
            <w:top w:val="none" w:sz="0" w:space="0" w:color="3D3D3D"/>
            <w:left w:val="none" w:sz="0" w:space="0" w:color="3D3D3D"/>
            <w:bottom w:val="none" w:sz="0" w:space="0" w:color="3D3D3D"/>
            <w:right w:val="none" w:sz="0" w:space="0" w:color="3D3D3D"/>
          </w:divBdr>
        </w:div>
      </w:divsChild>
    </w:div>
    <w:div w:id="1389064480">
      <w:bodyDiv w:val="1"/>
      <w:marLeft w:val="0"/>
      <w:marRight w:val="0"/>
      <w:marTop w:val="0"/>
      <w:marBottom w:val="0"/>
      <w:divBdr>
        <w:top w:val="none" w:sz="0" w:space="0" w:color="auto"/>
        <w:left w:val="none" w:sz="0" w:space="0" w:color="auto"/>
        <w:bottom w:val="none" w:sz="0" w:space="0" w:color="auto"/>
        <w:right w:val="none" w:sz="0" w:space="0" w:color="auto"/>
      </w:divBdr>
      <w:divsChild>
        <w:div w:id="493111690">
          <w:marLeft w:val="0"/>
          <w:marRight w:val="0"/>
          <w:marTop w:val="0"/>
          <w:marBottom w:val="0"/>
          <w:divBdr>
            <w:top w:val="none" w:sz="0" w:space="0" w:color="3D3D3D"/>
            <w:left w:val="none" w:sz="0" w:space="0" w:color="3D3D3D"/>
            <w:bottom w:val="none" w:sz="0" w:space="0" w:color="3D3D3D"/>
            <w:right w:val="none" w:sz="0" w:space="0" w:color="3D3D3D"/>
          </w:divBdr>
        </w:div>
      </w:divsChild>
    </w:div>
    <w:div w:id="1441148137">
      <w:bodyDiv w:val="1"/>
      <w:marLeft w:val="0"/>
      <w:marRight w:val="0"/>
      <w:marTop w:val="0"/>
      <w:marBottom w:val="0"/>
      <w:divBdr>
        <w:top w:val="none" w:sz="0" w:space="0" w:color="auto"/>
        <w:left w:val="none" w:sz="0" w:space="0" w:color="auto"/>
        <w:bottom w:val="none" w:sz="0" w:space="0" w:color="auto"/>
        <w:right w:val="none" w:sz="0" w:space="0" w:color="auto"/>
      </w:divBdr>
      <w:divsChild>
        <w:div w:id="637614657">
          <w:marLeft w:val="0"/>
          <w:marRight w:val="0"/>
          <w:marTop w:val="0"/>
          <w:marBottom w:val="0"/>
          <w:divBdr>
            <w:top w:val="none" w:sz="0" w:space="0" w:color="3D3D3D"/>
            <w:left w:val="none" w:sz="0" w:space="0" w:color="3D3D3D"/>
            <w:bottom w:val="none" w:sz="0" w:space="0" w:color="3D3D3D"/>
            <w:right w:val="none" w:sz="0" w:space="0" w:color="3D3D3D"/>
          </w:divBdr>
          <w:divsChild>
            <w:div w:id="9641477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09700644">
      <w:bodyDiv w:val="1"/>
      <w:marLeft w:val="0"/>
      <w:marRight w:val="0"/>
      <w:marTop w:val="0"/>
      <w:marBottom w:val="0"/>
      <w:divBdr>
        <w:top w:val="none" w:sz="0" w:space="0" w:color="auto"/>
        <w:left w:val="none" w:sz="0" w:space="0" w:color="auto"/>
        <w:bottom w:val="none" w:sz="0" w:space="0" w:color="auto"/>
        <w:right w:val="none" w:sz="0" w:space="0" w:color="auto"/>
      </w:divBdr>
      <w:divsChild>
        <w:div w:id="1606647783">
          <w:marLeft w:val="0"/>
          <w:marRight w:val="0"/>
          <w:marTop w:val="0"/>
          <w:marBottom w:val="0"/>
          <w:divBdr>
            <w:top w:val="none" w:sz="0" w:space="0" w:color="3D3D3D"/>
            <w:left w:val="none" w:sz="0" w:space="0" w:color="3D3D3D"/>
            <w:bottom w:val="none" w:sz="0" w:space="0" w:color="3D3D3D"/>
            <w:right w:val="none" w:sz="0" w:space="0" w:color="3D3D3D"/>
          </w:divBdr>
          <w:divsChild>
            <w:div w:id="24426253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04476473">
      <w:bodyDiv w:val="1"/>
      <w:marLeft w:val="0"/>
      <w:marRight w:val="0"/>
      <w:marTop w:val="0"/>
      <w:marBottom w:val="0"/>
      <w:divBdr>
        <w:top w:val="none" w:sz="0" w:space="0" w:color="auto"/>
        <w:left w:val="none" w:sz="0" w:space="0" w:color="auto"/>
        <w:bottom w:val="none" w:sz="0" w:space="0" w:color="auto"/>
        <w:right w:val="none" w:sz="0" w:space="0" w:color="auto"/>
      </w:divBdr>
      <w:divsChild>
        <w:div w:id="1868524474">
          <w:marLeft w:val="0"/>
          <w:marRight w:val="0"/>
          <w:marTop w:val="0"/>
          <w:marBottom w:val="0"/>
          <w:divBdr>
            <w:top w:val="none" w:sz="0" w:space="0" w:color="3D3D3D"/>
            <w:left w:val="none" w:sz="0" w:space="0" w:color="3D3D3D"/>
            <w:bottom w:val="none" w:sz="0" w:space="0" w:color="3D3D3D"/>
            <w:right w:val="none" w:sz="0" w:space="0" w:color="3D3D3D"/>
          </w:divBdr>
          <w:divsChild>
            <w:div w:id="180296524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77557976">
      <w:bodyDiv w:val="1"/>
      <w:marLeft w:val="0"/>
      <w:marRight w:val="0"/>
      <w:marTop w:val="0"/>
      <w:marBottom w:val="0"/>
      <w:divBdr>
        <w:top w:val="none" w:sz="0" w:space="0" w:color="auto"/>
        <w:left w:val="none" w:sz="0" w:space="0" w:color="auto"/>
        <w:bottom w:val="none" w:sz="0" w:space="0" w:color="auto"/>
        <w:right w:val="none" w:sz="0" w:space="0" w:color="auto"/>
      </w:divBdr>
      <w:divsChild>
        <w:div w:id="1930234600">
          <w:marLeft w:val="0"/>
          <w:marRight w:val="0"/>
          <w:marTop w:val="0"/>
          <w:marBottom w:val="0"/>
          <w:divBdr>
            <w:top w:val="none" w:sz="0" w:space="0" w:color="3D3D3D"/>
            <w:left w:val="none" w:sz="0" w:space="0" w:color="3D3D3D"/>
            <w:bottom w:val="none" w:sz="0" w:space="0" w:color="3D3D3D"/>
            <w:right w:val="none" w:sz="0" w:space="0" w:color="3D3D3D"/>
          </w:divBdr>
        </w:div>
      </w:divsChild>
    </w:div>
    <w:div w:id="1835873351">
      <w:bodyDiv w:val="1"/>
      <w:marLeft w:val="0"/>
      <w:marRight w:val="0"/>
      <w:marTop w:val="0"/>
      <w:marBottom w:val="0"/>
      <w:divBdr>
        <w:top w:val="none" w:sz="0" w:space="0" w:color="auto"/>
        <w:left w:val="none" w:sz="0" w:space="0" w:color="auto"/>
        <w:bottom w:val="none" w:sz="0" w:space="0" w:color="auto"/>
        <w:right w:val="none" w:sz="0" w:space="0" w:color="auto"/>
      </w:divBdr>
      <w:divsChild>
        <w:div w:id="652609276">
          <w:marLeft w:val="0"/>
          <w:marRight w:val="0"/>
          <w:marTop w:val="0"/>
          <w:marBottom w:val="0"/>
          <w:divBdr>
            <w:top w:val="none" w:sz="0" w:space="0" w:color="3D3D3D"/>
            <w:left w:val="none" w:sz="0" w:space="0" w:color="3D3D3D"/>
            <w:bottom w:val="none" w:sz="0" w:space="0" w:color="3D3D3D"/>
            <w:right w:val="none" w:sz="0" w:space="0" w:color="3D3D3D"/>
          </w:divBdr>
          <w:divsChild>
            <w:div w:id="98273594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02863488">
      <w:bodyDiv w:val="1"/>
      <w:marLeft w:val="0"/>
      <w:marRight w:val="0"/>
      <w:marTop w:val="0"/>
      <w:marBottom w:val="0"/>
      <w:divBdr>
        <w:top w:val="none" w:sz="0" w:space="0" w:color="auto"/>
        <w:left w:val="none" w:sz="0" w:space="0" w:color="auto"/>
        <w:bottom w:val="none" w:sz="0" w:space="0" w:color="auto"/>
        <w:right w:val="none" w:sz="0" w:space="0" w:color="auto"/>
      </w:divBdr>
      <w:divsChild>
        <w:div w:id="1355568761">
          <w:marLeft w:val="0"/>
          <w:marRight w:val="0"/>
          <w:marTop w:val="0"/>
          <w:marBottom w:val="0"/>
          <w:divBdr>
            <w:top w:val="none" w:sz="0" w:space="0" w:color="3D3D3D"/>
            <w:left w:val="none" w:sz="0" w:space="0" w:color="3D3D3D"/>
            <w:bottom w:val="none" w:sz="0" w:space="0" w:color="3D3D3D"/>
            <w:right w:val="none" w:sz="0" w:space="0" w:color="3D3D3D"/>
          </w:divBdr>
        </w:div>
      </w:divsChild>
    </w:div>
    <w:div w:id="1963805391">
      <w:bodyDiv w:val="1"/>
      <w:marLeft w:val="0"/>
      <w:marRight w:val="0"/>
      <w:marTop w:val="0"/>
      <w:marBottom w:val="0"/>
      <w:divBdr>
        <w:top w:val="none" w:sz="0" w:space="0" w:color="auto"/>
        <w:left w:val="none" w:sz="0" w:space="0" w:color="auto"/>
        <w:bottom w:val="none" w:sz="0" w:space="0" w:color="auto"/>
        <w:right w:val="none" w:sz="0" w:space="0" w:color="auto"/>
      </w:divBdr>
      <w:divsChild>
        <w:div w:id="1595165561">
          <w:marLeft w:val="0"/>
          <w:marRight w:val="0"/>
          <w:marTop w:val="0"/>
          <w:marBottom w:val="0"/>
          <w:divBdr>
            <w:top w:val="none" w:sz="0" w:space="0" w:color="3D3D3D"/>
            <w:left w:val="none" w:sz="0" w:space="0" w:color="3D3D3D"/>
            <w:bottom w:val="none" w:sz="0" w:space="0" w:color="3D3D3D"/>
            <w:right w:val="none" w:sz="0" w:space="0" w:color="3D3D3D"/>
          </w:divBdr>
          <w:divsChild>
            <w:div w:id="103704754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76064564">
      <w:bodyDiv w:val="1"/>
      <w:marLeft w:val="0"/>
      <w:marRight w:val="0"/>
      <w:marTop w:val="0"/>
      <w:marBottom w:val="0"/>
      <w:divBdr>
        <w:top w:val="none" w:sz="0" w:space="0" w:color="auto"/>
        <w:left w:val="none" w:sz="0" w:space="0" w:color="auto"/>
        <w:bottom w:val="none" w:sz="0" w:space="0" w:color="auto"/>
        <w:right w:val="none" w:sz="0" w:space="0" w:color="auto"/>
      </w:divBdr>
      <w:divsChild>
        <w:div w:id="639504361">
          <w:marLeft w:val="0"/>
          <w:marRight w:val="0"/>
          <w:marTop w:val="0"/>
          <w:marBottom w:val="0"/>
          <w:divBdr>
            <w:top w:val="none" w:sz="0" w:space="0" w:color="3D3D3D"/>
            <w:left w:val="none" w:sz="0" w:space="0" w:color="3D3D3D"/>
            <w:bottom w:val="none" w:sz="0" w:space="0" w:color="3D3D3D"/>
            <w:right w:val="none" w:sz="0" w:space="0" w:color="3D3D3D"/>
          </w:divBdr>
          <w:divsChild>
            <w:div w:id="320760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09407647">
      <w:bodyDiv w:val="1"/>
      <w:marLeft w:val="0"/>
      <w:marRight w:val="0"/>
      <w:marTop w:val="0"/>
      <w:marBottom w:val="0"/>
      <w:divBdr>
        <w:top w:val="none" w:sz="0" w:space="0" w:color="auto"/>
        <w:left w:val="none" w:sz="0" w:space="0" w:color="auto"/>
        <w:bottom w:val="none" w:sz="0" w:space="0" w:color="auto"/>
        <w:right w:val="none" w:sz="0" w:space="0" w:color="auto"/>
      </w:divBdr>
      <w:divsChild>
        <w:div w:id="1168713010">
          <w:marLeft w:val="0"/>
          <w:marRight w:val="0"/>
          <w:marTop w:val="0"/>
          <w:marBottom w:val="0"/>
          <w:divBdr>
            <w:top w:val="none" w:sz="0" w:space="0" w:color="3D3D3D"/>
            <w:left w:val="none" w:sz="0" w:space="0" w:color="3D3D3D"/>
            <w:bottom w:val="none" w:sz="0" w:space="0" w:color="3D3D3D"/>
            <w:right w:val="none" w:sz="0" w:space="0" w:color="3D3D3D"/>
          </w:divBdr>
          <w:divsChild>
            <w:div w:id="214191841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26072340">
      <w:bodyDiv w:val="1"/>
      <w:marLeft w:val="0"/>
      <w:marRight w:val="0"/>
      <w:marTop w:val="0"/>
      <w:marBottom w:val="0"/>
      <w:divBdr>
        <w:top w:val="none" w:sz="0" w:space="0" w:color="auto"/>
        <w:left w:val="none" w:sz="0" w:space="0" w:color="auto"/>
        <w:bottom w:val="none" w:sz="0" w:space="0" w:color="auto"/>
        <w:right w:val="none" w:sz="0" w:space="0" w:color="auto"/>
      </w:divBdr>
      <w:divsChild>
        <w:div w:id="1959751925">
          <w:marLeft w:val="0"/>
          <w:marRight w:val="0"/>
          <w:marTop w:val="0"/>
          <w:marBottom w:val="0"/>
          <w:divBdr>
            <w:top w:val="none" w:sz="0" w:space="0" w:color="3D3D3D"/>
            <w:left w:val="none" w:sz="0" w:space="0" w:color="3D3D3D"/>
            <w:bottom w:val="none" w:sz="0" w:space="0" w:color="3D3D3D"/>
            <w:right w:val="none" w:sz="0" w:space="0" w:color="3D3D3D"/>
          </w:divBdr>
          <w:divsChild>
            <w:div w:id="13260578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29666092">
      <w:bodyDiv w:val="1"/>
      <w:marLeft w:val="0"/>
      <w:marRight w:val="0"/>
      <w:marTop w:val="0"/>
      <w:marBottom w:val="0"/>
      <w:divBdr>
        <w:top w:val="none" w:sz="0" w:space="0" w:color="auto"/>
        <w:left w:val="none" w:sz="0" w:space="0" w:color="auto"/>
        <w:bottom w:val="none" w:sz="0" w:space="0" w:color="auto"/>
        <w:right w:val="none" w:sz="0" w:space="0" w:color="auto"/>
      </w:divBdr>
      <w:divsChild>
        <w:div w:id="246958232">
          <w:marLeft w:val="0"/>
          <w:marRight w:val="0"/>
          <w:marTop w:val="0"/>
          <w:marBottom w:val="0"/>
          <w:divBdr>
            <w:top w:val="none" w:sz="0" w:space="0" w:color="3D3D3D"/>
            <w:left w:val="none" w:sz="0" w:space="0" w:color="3D3D3D"/>
            <w:bottom w:val="none" w:sz="0" w:space="0" w:color="3D3D3D"/>
            <w:right w:val="none" w:sz="0" w:space="0" w:color="3D3D3D"/>
          </w:divBdr>
          <w:divsChild>
            <w:div w:id="15580794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821CF-810B-4483-B555-520A8A135DE7}">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7146</TotalTime>
  <Pages>6</Pages>
  <Words>2813</Words>
  <Characters>16040</Characters>
  <Application>Microsoft Office Word</Application>
  <DocSecurity>0</DocSecurity>
  <Lines>133</Lines>
  <Paragraphs>37</Paragraphs>
  <ScaleCrop>false</ScaleCrop>
  <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 Circo</dc:creator>
  <cp:keywords/>
  <dc:description/>
  <cp:lastModifiedBy>Carl J. Circo</cp:lastModifiedBy>
  <cp:revision>1113</cp:revision>
  <dcterms:created xsi:type="dcterms:W3CDTF">2024-11-18T21:54:00Z</dcterms:created>
  <dcterms:modified xsi:type="dcterms:W3CDTF">2024-12-02T17:31:00Z</dcterms:modified>
</cp:coreProperties>
</file>