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AF85" w14:textId="77777777" w:rsidR="007C726E" w:rsidRDefault="007C726E" w:rsidP="007C726E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4C1245F3" w14:textId="77777777" w:rsidR="007C726E" w:rsidRDefault="007C726E" w:rsidP="007C726E">
      <w:pPr>
        <w:jc w:val="center"/>
      </w:pPr>
    </w:p>
    <w:p w14:paraId="741263CD" w14:textId="77777777" w:rsidR="007C726E" w:rsidRDefault="007C726E" w:rsidP="007C726E">
      <w:pPr>
        <w:jc w:val="center"/>
      </w:pPr>
      <w:r>
        <w:t>Carl J. Circo</w:t>
      </w:r>
    </w:p>
    <w:p w14:paraId="008B983A" w14:textId="77777777" w:rsidR="007C726E" w:rsidRDefault="007C726E" w:rsidP="007C726E">
      <w:pPr>
        <w:jc w:val="center"/>
      </w:pPr>
    </w:p>
    <w:p w14:paraId="065B9A27" w14:textId="5546EF32" w:rsidR="007C726E" w:rsidRDefault="007C726E" w:rsidP="007C726E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 w:rsidR="00B272D1">
        <w:rPr>
          <w:b/>
          <w:bCs/>
        </w:rPr>
        <w:t>13</w:t>
      </w:r>
      <w:r w:rsidRPr="636C9287">
        <w:rPr>
          <w:b/>
          <w:bCs/>
        </w:rPr>
        <w:t xml:space="preserve">: </w:t>
      </w:r>
      <w:r w:rsidR="007575B7" w:rsidRPr="00F2305A">
        <w:rPr>
          <w:b/>
        </w:rPr>
        <w:t>Schedule and Delays</w:t>
      </w:r>
    </w:p>
    <w:p w14:paraId="03357CAD" w14:textId="77777777" w:rsidR="007C726E" w:rsidRPr="00BE1115" w:rsidRDefault="007C726E" w:rsidP="007C726E">
      <w:pPr>
        <w:keepNext/>
        <w:rPr>
          <w:b/>
          <w:bCs/>
        </w:rPr>
      </w:pPr>
    </w:p>
    <w:p w14:paraId="4A62A74D" w14:textId="1A0E7903" w:rsidR="006B4810" w:rsidRDefault="001317A2" w:rsidP="007C00D4">
      <w:pPr>
        <w:spacing w:after="160" w:line="259" w:lineRule="auto"/>
      </w:pPr>
      <w:r>
        <w:tab/>
      </w:r>
      <w:r w:rsidR="003F21D2">
        <w:t>Project success often depends on s</w:t>
      </w:r>
      <w:r w:rsidR="00710DC0">
        <w:t xml:space="preserve">ound </w:t>
      </w:r>
      <w:r w:rsidR="00D90366">
        <w:t>schedul</w:t>
      </w:r>
      <w:r w:rsidR="00710DC0">
        <w:t>e management</w:t>
      </w:r>
      <w:r w:rsidR="008F538C">
        <w:t xml:space="preserve">. </w:t>
      </w:r>
      <w:r w:rsidR="00A10040">
        <w:t>Delay claims and other time-relat</w:t>
      </w:r>
      <w:r w:rsidR="003864A0">
        <w:t>ed</w:t>
      </w:r>
      <w:r w:rsidR="00A10040">
        <w:t xml:space="preserve"> problems </w:t>
      </w:r>
      <w:r w:rsidR="00E243A6">
        <w:t>implicate</w:t>
      </w:r>
      <w:r w:rsidR="007429E2">
        <w:t xml:space="preserve"> c</w:t>
      </w:r>
      <w:r w:rsidR="003002ED">
        <w:t xml:space="preserve">omplex industry practices, </w:t>
      </w:r>
      <w:r w:rsidR="00C47DD8">
        <w:t>highly developed legal principles, and</w:t>
      </w:r>
      <w:r w:rsidR="00E243A6">
        <w:t xml:space="preserve"> a host of procedural hurdles</w:t>
      </w:r>
      <w:r w:rsidR="00E56164">
        <w:t xml:space="preserve"> and evidentiary challenges. </w:t>
      </w:r>
      <w:r w:rsidR="00DF786D">
        <w:t xml:space="preserve">The Bruner and O’Connor </w:t>
      </w:r>
      <w:r w:rsidR="00701699">
        <w:t xml:space="preserve">treatise devotes over one hundred sections to these topics. </w:t>
      </w:r>
      <w:r w:rsidR="004E77A9">
        <w:t xml:space="preserve">See Phillip L. Bruner &amp; Patrick J. O’Connor, Jr., </w:t>
      </w:r>
      <w:r w:rsidR="00224682">
        <w:t>5</w:t>
      </w:r>
      <w:r w:rsidR="004E77A9">
        <w:t xml:space="preserve"> </w:t>
      </w:r>
      <w:r w:rsidR="004E77A9" w:rsidRPr="001511CC">
        <w:rPr>
          <w:i/>
          <w:iCs/>
        </w:rPr>
        <w:t>Bruner &amp; O’Connor on Construction Law</w:t>
      </w:r>
      <w:r w:rsidR="004E77A9">
        <w:t>, §§ 15:1-15:</w:t>
      </w:r>
      <w:r w:rsidR="00AB45C4">
        <w:t>1</w:t>
      </w:r>
      <w:r w:rsidR="004E77A9">
        <w:t>3</w:t>
      </w:r>
      <w:r w:rsidR="00AB45C4">
        <w:t>6</w:t>
      </w:r>
      <w:r w:rsidR="004E77A9">
        <w:t xml:space="preserve"> (Westlaw Aug. 2023).</w:t>
      </w:r>
    </w:p>
    <w:p w14:paraId="75E92461" w14:textId="3FC32691" w:rsidR="001317A2" w:rsidRDefault="008F538C" w:rsidP="006B4810">
      <w:pPr>
        <w:spacing w:after="160" w:line="259" w:lineRule="auto"/>
        <w:ind w:firstLine="720"/>
      </w:pPr>
      <w:r>
        <w:t>A good way to</w:t>
      </w:r>
      <w:r w:rsidR="00CB6C41">
        <w:t xml:space="preserve"> begin to</w:t>
      </w:r>
      <w:r w:rsidR="00560446">
        <w:t xml:space="preserve"> </w:t>
      </w:r>
      <w:r w:rsidR="0044791F">
        <w:t>understand</w:t>
      </w:r>
      <w:r w:rsidR="00F664F5">
        <w:t xml:space="preserve"> the</w:t>
      </w:r>
      <w:r w:rsidR="00053406">
        <w:t xml:space="preserve"> important</w:t>
      </w:r>
      <w:r w:rsidR="00F664F5">
        <w:t xml:space="preserve"> role</w:t>
      </w:r>
      <w:r w:rsidR="00053406">
        <w:t>s</w:t>
      </w:r>
      <w:r w:rsidR="00F664F5">
        <w:t xml:space="preserve"> that</w:t>
      </w:r>
      <w:r w:rsidR="00B77810">
        <w:t xml:space="preserve"> </w:t>
      </w:r>
      <w:r>
        <w:t>schedul</w:t>
      </w:r>
      <w:r w:rsidR="00346936">
        <w:t>es</w:t>
      </w:r>
      <w:r w:rsidR="00B20CC2">
        <w:t>,</w:t>
      </w:r>
      <w:r w:rsidR="00346936">
        <w:t xml:space="preserve"> schedule management</w:t>
      </w:r>
      <w:r w:rsidR="00B20CC2">
        <w:t>, and scheduling methodologies</w:t>
      </w:r>
      <w:r w:rsidR="00D400DE">
        <w:t xml:space="preserve"> </w:t>
      </w:r>
      <w:r w:rsidR="00F664F5">
        <w:t xml:space="preserve">play is to </w:t>
      </w:r>
      <w:r w:rsidR="00973EBA">
        <w:t>review</w:t>
      </w:r>
      <w:r w:rsidR="00FD0ECF">
        <w:t xml:space="preserve"> </w:t>
      </w:r>
      <w:r w:rsidR="00F6466A">
        <w:t>relevant</w:t>
      </w:r>
      <w:r w:rsidR="005478C5">
        <w:t xml:space="preserve"> contractual provisions</w:t>
      </w:r>
      <w:r w:rsidR="00AA5C2E">
        <w:t xml:space="preserve"> and industry practices</w:t>
      </w:r>
      <w:r w:rsidR="005478C5">
        <w:t xml:space="preserve"> </w:t>
      </w:r>
      <w:r w:rsidR="00973EBA">
        <w:t>and to explore how</w:t>
      </w:r>
      <w:r w:rsidR="00364007">
        <w:t xml:space="preserve"> construction lawyers and </w:t>
      </w:r>
      <w:r w:rsidR="005C0CC6">
        <w:t>scheduling</w:t>
      </w:r>
      <w:r>
        <w:t xml:space="preserve"> experts </w:t>
      </w:r>
      <w:r w:rsidR="005C0CC6">
        <w:t>assess</w:t>
      </w:r>
      <w:r w:rsidR="00FD0ECF">
        <w:t xml:space="preserve"> the causes and effects of </w:t>
      </w:r>
      <w:r w:rsidR="00D055F0">
        <w:t xml:space="preserve">delaying events. </w:t>
      </w:r>
      <w:r w:rsidR="00912C7B">
        <w:t>T</w:t>
      </w:r>
      <w:r w:rsidR="001A78FB">
        <w:t>h</w:t>
      </w:r>
      <w:r w:rsidR="00473601">
        <w:t>e</w:t>
      </w:r>
      <w:r w:rsidR="00912C7B">
        <w:t xml:space="preserve"> assigned readings for this lesson, each authored by</w:t>
      </w:r>
      <w:r w:rsidR="00F47890">
        <w:t xml:space="preserve"> experienced practitioners,</w:t>
      </w:r>
      <w:r w:rsidR="00740D67">
        <w:t xml:space="preserve"> </w:t>
      </w:r>
      <w:r w:rsidR="00CD3B8E">
        <w:t xml:space="preserve">cover those matters in </w:t>
      </w:r>
      <w:r w:rsidR="00F32BCE">
        <w:t>considerable</w:t>
      </w:r>
      <w:r w:rsidR="00CD3B8E">
        <w:t xml:space="preserve"> detail</w:t>
      </w:r>
      <w:r w:rsidR="00740D67">
        <w:t>.</w:t>
      </w:r>
      <w:r w:rsidR="00473601">
        <w:t xml:space="preserve"> </w:t>
      </w:r>
      <w:r w:rsidR="003C6B15">
        <w:t xml:space="preserve">Setting aside, for the moment, citations to cases and other legal authorities and </w:t>
      </w:r>
      <w:r w:rsidR="008F75B4">
        <w:t xml:space="preserve">the </w:t>
      </w:r>
      <w:r w:rsidR="00CE18BA">
        <w:t>technical</w:t>
      </w:r>
      <w:r w:rsidR="003C6B15">
        <w:t xml:space="preserve"> </w:t>
      </w:r>
      <w:r w:rsidR="007A3669">
        <w:t>aspects</w:t>
      </w:r>
      <w:r w:rsidR="003C6B15">
        <w:t xml:space="preserve"> of scheduling methods, a brief and informal overview of </w:t>
      </w:r>
      <w:r w:rsidR="00081DED">
        <w:t>the most important</w:t>
      </w:r>
      <w:r w:rsidR="003C6B15">
        <w:t xml:space="preserve"> considerations will </w:t>
      </w:r>
      <w:r w:rsidR="002D4E8B">
        <w:t>prepare</w:t>
      </w:r>
      <w:r w:rsidR="003C6B15">
        <w:t xml:space="preserve"> you </w:t>
      </w:r>
      <w:r w:rsidR="002D4E8B">
        <w:t xml:space="preserve">to </w:t>
      </w:r>
      <w:r w:rsidR="003C6B15">
        <w:t>get the most out of these assigned readings</w:t>
      </w:r>
      <w:r w:rsidR="002D4E8B">
        <w:t>.</w:t>
      </w:r>
    </w:p>
    <w:p w14:paraId="22DDAC71" w14:textId="619F80D7" w:rsidR="000311ED" w:rsidRDefault="00886593" w:rsidP="00E2688A">
      <w:pPr>
        <w:spacing w:after="160" w:line="259" w:lineRule="auto"/>
        <w:ind w:firstLine="720"/>
      </w:pPr>
      <w:r>
        <w:t>In the context of the contemporary construction industry, t</w:t>
      </w:r>
      <w:r w:rsidR="005835F6">
        <w:t>he common law</w:t>
      </w:r>
      <w:r w:rsidR="00BD50CB">
        <w:t xml:space="preserve">’s attitude toward timely performance </w:t>
      </w:r>
      <w:r>
        <w:t xml:space="preserve">seems quaintly naïve. </w:t>
      </w:r>
      <w:r w:rsidR="003914FF">
        <w:t>In early cases, the</w:t>
      </w:r>
      <w:r w:rsidR="000335DA">
        <w:t xml:space="preserve"> </w:t>
      </w:r>
      <w:r w:rsidR="00F12D22">
        <w:t>courts treated</w:t>
      </w:r>
      <w:r w:rsidR="000335DA">
        <w:t xml:space="preserve"> a</w:t>
      </w:r>
      <w:r>
        <w:t xml:space="preserve"> failure to </w:t>
      </w:r>
      <w:r w:rsidR="000335DA">
        <w:t xml:space="preserve">perform on time </w:t>
      </w:r>
      <w:r w:rsidR="00F12D22">
        <w:t>as a</w:t>
      </w:r>
      <w:r w:rsidR="00AD0E5B">
        <w:t xml:space="preserve"> potential</w:t>
      </w:r>
      <w:r w:rsidR="00F12D22">
        <w:t xml:space="preserve"> breach</w:t>
      </w:r>
      <w:r w:rsidR="005D63CF">
        <w:t xml:space="preserve"> of contract that could give rise to a damage remedy, but not as a material breach that </w:t>
      </w:r>
      <w:r w:rsidR="00E07F87">
        <w:t>would necessarily give the non-defaulting</w:t>
      </w:r>
      <w:r w:rsidR="00DB2C40">
        <w:t xml:space="preserve"> party</w:t>
      </w:r>
      <w:r w:rsidR="00E07F87">
        <w:t xml:space="preserve"> a right to terminate the</w:t>
      </w:r>
      <w:r w:rsidR="00B66FE3">
        <w:t xml:space="preserve"> contract. </w:t>
      </w:r>
      <w:r w:rsidR="006A0C4F">
        <w:t>For o</w:t>
      </w:r>
      <w:r w:rsidR="0084324D">
        <w:t xml:space="preserve">wners </w:t>
      </w:r>
      <w:r w:rsidR="00E07A05">
        <w:t>(</w:t>
      </w:r>
      <w:r w:rsidR="0084324D">
        <w:t>and their lenders</w:t>
      </w:r>
      <w:r w:rsidR="00E07A05">
        <w:t>)</w:t>
      </w:r>
      <w:r w:rsidR="0084324D">
        <w:t>,</w:t>
      </w:r>
      <w:r w:rsidR="00F1352B">
        <w:t xml:space="preserve"> however,</w:t>
      </w:r>
      <w:r w:rsidR="00CE134C">
        <w:t xml:space="preserve"> </w:t>
      </w:r>
      <w:r w:rsidR="00915AD7">
        <w:t xml:space="preserve">timely completion </w:t>
      </w:r>
      <w:r w:rsidR="00A6537D">
        <w:t>is normally</w:t>
      </w:r>
      <w:r w:rsidR="00915AD7">
        <w:t xml:space="preserve"> critical</w:t>
      </w:r>
      <w:r w:rsidR="007C227F">
        <w:t>. Accordingly,</w:t>
      </w:r>
      <w:r w:rsidR="00401F57">
        <w:t xml:space="preserve"> in </w:t>
      </w:r>
      <w:r w:rsidR="00DD6814">
        <w:t>reaction</w:t>
      </w:r>
      <w:r w:rsidR="00401F57">
        <w:t xml:space="preserve"> to contract law’s relaxed attitude,</w:t>
      </w:r>
      <w:r w:rsidR="007C227F">
        <w:t xml:space="preserve"> </w:t>
      </w:r>
      <w:r w:rsidR="0080625F">
        <w:t>owners began to</w:t>
      </w:r>
      <w:r w:rsidR="00294C75">
        <w:t xml:space="preserve"> insist on </w:t>
      </w:r>
      <w:r w:rsidR="00420E88">
        <w:t xml:space="preserve">demanding time-related terms </w:t>
      </w:r>
      <w:r w:rsidR="007C227F">
        <w:t>in construction contracts</w:t>
      </w:r>
      <w:r w:rsidR="009320FA">
        <w:t xml:space="preserve">, beginning with an express acknowledgment that “time is of the essence” of the </w:t>
      </w:r>
      <w:r w:rsidR="003E6D03">
        <w:t>parties’ bargain</w:t>
      </w:r>
      <w:r w:rsidR="009320FA">
        <w:t xml:space="preserve">. </w:t>
      </w:r>
      <w:r w:rsidR="00EF0A6F">
        <w:t xml:space="preserve">Beyond that </w:t>
      </w:r>
      <w:r w:rsidR="009D64CB">
        <w:t xml:space="preserve">general </w:t>
      </w:r>
      <w:r w:rsidR="00A4287F">
        <w:t>provision</w:t>
      </w:r>
      <w:r w:rsidR="009D64CB">
        <w:t>, which effectively reverses the common law</w:t>
      </w:r>
      <w:r w:rsidR="00DE317A">
        <w:t xml:space="preserve"> </w:t>
      </w:r>
      <w:r w:rsidR="002D4789">
        <w:t>framework</w:t>
      </w:r>
      <w:r w:rsidR="00DE317A">
        <w:t xml:space="preserve">, industry contracts </w:t>
      </w:r>
      <w:r w:rsidR="006F2130">
        <w:t>typically</w:t>
      </w:r>
      <w:r w:rsidR="00DE317A">
        <w:t xml:space="preserve"> include detailed </w:t>
      </w:r>
      <w:r w:rsidR="00DA58EC">
        <w:t>terms</w:t>
      </w:r>
      <w:r w:rsidR="00DE317A">
        <w:t xml:space="preserve"> requiring the contractor to establish and manage the completion schedule</w:t>
      </w:r>
      <w:r w:rsidR="00F33E0F">
        <w:t xml:space="preserve"> and specifying related procedures and remedies</w:t>
      </w:r>
      <w:r w:rsidR="004C46C1">
        <w:t xml:space="preserve"> </w:t>
      </w:r>
      <w:r w:rsidR="00886051">
        <w:t xml:space="preserve">for </w:t>
      </w:r>
      <w:r w:rsidR="0097016D">
        <w:t>dealing with delays</w:t>
      </w:r>
      <w:r w:rsidR="008F16DA">
        <w:t>.</w:t>
      </w:r>
      <w:r w:rsidR="00EA69EA">
        <w:t xml:space="preserve"> At a minimum, </w:t>
      </w:r>
      <w:r w:rsidR="008D5286">
        <w:t xml:space="preserve">contracts </w:t>
      </w:r>
      <w:r w:rsidR="00B4147C">
        <w:t>usually</w:t>
      </w:r>
      <w:r w:rsidR="008D5286">
        <w:t xml:space="preserve"> require the contractor to</w:t>
      </w:r>
      <w:r w:rsidR="00B4147C">
        <w:t xml:space="preserve"> </w:t>
      </w:r>
      <w:r w:rsidR="003557E5">
        <w:t>furnish a</w:t>
      </w:r>
      <w:r w:rsidR="009427D8">
        <w:t xml:space="preserve"> baseline schedule</w:t>
      </w:r>
      <w:r w:rsidR="000E50FF">
        <w:t>,</w:t>
      </w:r>
      <w:r w:rsidR="00C46329">
        <w:t xml:space="preserve"> to update that schedule</w:t>
      </w:r>
      <w:r w:rsidR="00A61CEC">
        <w:t xml:space="preserve"> </w:t>
      </w:r>
      <w:r w:rsidR="001D4A9A">
        <w:t>to reflect actual progress</w:t>
      </w:r>
      <w:r w:rsidR="00987D93">
        <w:t>,</w:t>
      </w:r>
      <w:r w:rsidR="00614528">
        <w:t xml:space="preserve"> to coordinate and supervise the progress of subcontractors and suppliers,</w:t>
      </w:r>
      <w:r w:rsidR="00987D93">
        <w:t xml:space="preserve"> and to achieve both substantial completion (</w:t>
      </w:r>
      <w:r w:rsidR="00E8099C">
        <w:t>generally meaning the point at which the owner can occupy and use the project) and final completion</w:t>
      </w:r>
      <w:r w:rsidR="000E50FF">
        <w:t xml:space="preserve"> </w:t>
      </w:r>
      <w:r w:rsidR="00844A71">
        <w:t>in accordance with</w:t>
      </w:r>
      <w:r w:rsidR="000E50FF">
        <w:t xml:space="preserve"> </w:t>
      </w:r>
      <w:r w:rsidR="00BE5638">
        <w:t>strict deadlines</w:t>
      </w:r>
      <w:r w:rsidR="001D4A9A">
        <w:t>.</w:t>
      </w:r>
    </w:p>
    <w:p w14:paraId="07E7EE4F" w14:textId="7393745D" w:rsidR="006627D4" w:rsidRDefault="007064E7" w:rsidP="00B66FE3">
      <w:pPr>
        <w:spacing w:after="160" w:line="259" w:lineRule="auto"/>
        <w:ind w:firstLine="720"/>
      </w:pPr>
      <w:r>
        <w:t xml:space="preserve">Recognizing </w:t>
      </w:r>
      <w:r w:rsidR="0007767F">
        <w:t xml:space="preserve">that </w:t>
      </w:r>
      <w:r w:rsidR="007D45A1">
        <w:t>construction is a dynamic process</w:t>
      </w:r>
      <w:r w:rsidR="00D17BEA">
        <w:t xml:space="preserve">, however, </w:t>
      </w:r>
      <w:r w:rsidR="007E56AB">
        <w:t>contracts also</w:t>
      </w:r>
      <w:r w:rsidR="00D17BEA">
        <w:t xml:space="preserve"> ordinarily</w:t>
      </w:r>
      <w:r w:rsidR="00CC27F3">
        <w:t xml:space="preserve"> include </w:t>
      </w:r>
      <w:r w:rsidR="00090836">
        <w:t>f</w:t>
      </w:r>
      <w:r w:rsidR="00A859EA">
        <w:t>orce majeure clauses and other</w:t>
      </w:r>
      <w:r w:rsidR="0080166C">
        <w:t xml:space="preserve"> time-related</w:t>
      </w:r>
      <w:r w:rsidR="00CC27F3">
        <w:t xml:space="preserve"> provisions </w:t>
      </w:r>
      <w:r w:rsidR="00853071">
        <w:t xml:space="preserve">that establish </w:t>
      </w:r>
      <w:r w:rsidR="00A03BD3">
        <w:t xml:space="preserve">standards and </w:t>
      </w:r>
      <w:r w:rsidR="00853071">
        <w:t xml:space="preserve">procedures </w:t>
      </w:r>
      <w:r w:rsidR="00A03BD3">
        <w:t>allow</w:t>
      </w:r>
      <w:r w:rsidR="007C41D7">
        <w:t>ing</w:t>
      </w:r>
      <w:r w:rsidR="00A03BD3">
        <w:t xml:space="preserve"> </w:t>
      </w:r>
      <w:r w:rsidR="00256E16">
        <w:t>the contractor to secure</w:t>
      </w:r>
      <w:r w:rsidR="003B70FA">
        <w:t xml:space="preserve"> time extensions </w:t>
      </w:r>
      <w:r w:rsidR="00B134EC">
        <w:t>or</w:t>
      </w:r>
      <w:r w:rsidR="003B70FA">
        <w:t xml:space="preserve"> additional compensation</w:t>
      </w:r>
      <w:r w:rsidR="00B134EC">
        <w:t>, or both</w:t>
      </w:r>
      <w:r w:rsidR="00E939C7">
        <w:t>, when circumstances</w:t>
      </w:r>
      <w:r w:rsidR="00D03022">
        <w:t xml:space="preserve"> beyond the contractor’s control interfere with progress</w:t>
      </w:r>
      <w:r w:rsidR="00EE64C3">
        <w:t>.</w:t>
      </w:r>
      <w:r w:rsidR="00382236">
        <w:t xml:space="preserve"> </w:t>
      </w:r>
      <w:r w:rsidR="008A5202">
        <w:t>Other terms may include</w:t>
      </w:r>
      <w:r w:rsidR="00B75ED0">
        <w:t xml:space="preserve"> a liquidated damage formula for computing</w:t>
      </w:r>
      <w:r w:rsidR="00120FA5">
        <w:t xml:space="preserve"> the owner’s</w:t>
      </w:r>
      <w:r w:rsidR="00B75ED0">
        <w:t xml:space="preserve"> delay damages, an owner’s waiver of consequential damages resulting from delay</w:t>
      </w:r>
      <w:r w:rsidR="006D023D">
        <w:t>s</w:t>
      </w:r>
      <w:r w:rsidR="00B75ED0">
        <w:t xml:space="preserve">, </w:t>
      </w:r>
      <w:r w:rsidR="004F3D25">
        <w:t>and</w:t>
      </w:r>
      <w:r w:rsidR="00B75ED0">
        <w:t xml:space="preserve"> a no-damage-for delay clause, </w:t>
      </w:r>
      <w:r w:rsidR="00DD7C3F">
        <w:t>by</w:t>
      </w:r>
      <w:r w:rsidR="00B75ED0">
        <w:t xml:space="preserve"> which the contractor agrees that it </w:t>
      </w:r>
      <w:r w:rsidR="00541069">
        <w:t>may</w:t>
      </w:r>
      <w:r w:rsidR="00B75ED0">
        <w:t xml:space="preserve"> only be entitled to a time extension and not additional compensation if delays occur for which the owner is responsible. </w:t>
      </w:r>
      <w:r w:rsidR="00491494">
        <w:t xml:space="preserve">The parties often engage in </w:t>
      </w:r>
      <w:r w:rsidR="00491494">
        <w:lastRenderedPageBreak/>
        <w:t xml:space="preserve">extensive and </w:t>
      </w:r>
      <w:r w:rsidR="00E03555">
        <w:t>difficult</w:t>
      </w:r>
      <w:r w:rsidR="00491494">
        <w:t xml:space="preserve"> negotiations over such provisions, and courts sometimes </w:t>
      </w:r>
      <w:r w:rsidR="0061540B">
        <w:t>impose limits on their enforceability based on policy considerations</w:t>
      </w:r>
      <w:r w:rsidR="004F0D10">
        <w:t xml:space="preserve">. Overall, </w:t>
      </w:r>
      <w:r w:rsidR="00275D60">
        <w:t xml:space="preserve">as Chapter 15 of the Bruner and O’Connor treatise referenced above shows, </w:t>
      </w:r>
      <w:r w:rsidR="004F0D10">
        <w:t>schedul</w:t>
      </w:r>
      <w:r w:rsidR="006A15FA">
        <w:t>ing</w:t>
      </w:r>
      <w:r w:rsidR="001F0694">
        <w:t xml:space="preserve"> </w:t>
      </w:r>
      <w:r w:rsidR="004F0D10">
        <w:t>and delay</w:t>
      </w:r>
      <w:r w:rsidR="006A15FA">
        <w:t>s</w:t>
      </w:r>
      <w:r w:rsidR="00862BF7">
        <w:t xml:space="preserve"> </w:t>
      </w:r>
      <w:r w:rsidR="00A363CC">
        <w:t>account for many</w:t>
      </w:r>
      <w:r w:rsidR="0087032A">
        <w:t xml:space="preserve"> complex disputes that</w:t>
      </w:r>
      <w:r w:rsidR="00BC65BF">
        <w:t xml:space="preserve"> demand the</w:t>
      </w:r>
      <w:r w:rsidR="00A1578D">
        <w:t xml:space="preserve"> </w:t>
      </w:r>
      <w:r w:rsidR="00FD2297">
        <w:t xml:space="preserve">attention </w:t>
      </w:r>
      <w:r w:rsidR="00BC65BF">
        <w:t>of</w:t>
      </w:r>
      <w:r w:rsidR="008171EB">
        <w:t xml:space="preserve"> the courts </w:t>
      </w:r>
      <w:r w:rsidR="00C67D8F">
        <w:t>and</w:t>
      </w:r>
      <w:r w:rsidR="00BC0C6A">
        <w:t xml:space="preserve"> </w:t>
      </w:r>
      <w:r w:rsidR="004C5E25">
        <w:t xml:space="preserve">that </w:t>
      </w:r>
      <w:r w:rsidR="00A363CC">
        <w:t xml:space="preserve">generate </w:t>
      </w:r>
      <w:r w:rsidR="00171001">
        <w:t>ongoing</w:t>
      </w:r>
      <w:r w:rsidR="00A363CC">
        <w:t xml:space="preserve"> debates among the </w:t>
      </w:r>
      <w:r w:rsidR="00FD2297">
        <w:t>commentators</w:t>
      </w:r>
      <w:r w:rsidR="00A1578D">
        <w:t>.</w:t>
      </w:r>
      <w:r w:rsidR="0061540B">
        <w:t xml:space="preserve"> </w:t>
      </w:r>
    </w:p>
    <w:p w14:paraId="54797E74" w14:textId="69153D1D" w:rsidR="00960E0E" w:rsidRDefault="00365BA2" w:rsidP="00B66FE3">
      <w:pPr>
        <w:spacing w:after="160" w:line="259" w:lineRule="auto"/>
        <w:ind w:firstLine="720"/>
      </w:pPr>
      <w:r>
        <w:t>Turn now to the</w:t>
      </w:r>
      <w:r w:rsidR="00E11F4D">
        <w:t xml:space="preserve"> </w:t>
      </w:r>
      <w:r w:rsidR="000807D3">
        <w:t xml:space="preserve">three </w:t>
      </w:r>
      <w:r w:rsidR="00553293">
        <w:t>assigned readings to</w:t>
      </w:r>
      <w:r>
        <w:t xml:space="preserve"> </w:t>
      </w:r>
      <w:r w:rsidR="006655A7">
        <w:t xml:space="preserve">explore </w:t>
      </w:r>
      <w:r w:rsidR="00E810B2">
        <w:t>schedule and delay considerations</w:t>
      </w:r>
      <w:r w:rsidR="006C487C">
        <w:t xml:space="preserve"> in greater detail</w:t>
      </w:r>
      <w:r w:rsidR="00AA2AC3">
        <w:t>. The</w:t>
      </w:r>
      <w:r w:rsidR="00875962">
        <w:t>se articles</w:t>
      </w:r>
      <w:r w:rsidR="00AA2AC3">
        <w:t xml:space="preserve"> </w:t>
      </w:r>
      <w:r w:rsidR="00CA433F">
        <w:t>review</w:t>
      </w:r>
      <w:r w:rsidR="00AA2AC3">
        <w:t xml:space="preserve"> not only</w:t>
      </w:r>
      <w:r w:rsidR="00875962">
        <w:t xml:space="preserve"> the relevant</w:t>
      </w:r>
      <w:r w:rsidR="006655A7">
        <w:t xml:space="preserve"> </w:t>
      </w:r>
      <w:r w:rsidR="00E0439F">
        <w:t>case</w:t>
      </w:r>
      <w:r w:rsidR="00FE6D04">
        <w:t xml:space="preserve"> law</w:t>
      </w:r>
      <w:r w:rsidR="00E0439F">
        <w:t xml:space="preserve"> and other legal authorities</w:t>
      </w:r>
      <w:r w:rsidR="00AA2AC3">
        <w:t>, but they</w:t>
      </w:r>
      <w:r w:rsidR="00C3167F">
        <w:t xml:space="preserve"> also introduce you to </w:t>
      </w:r>
      <w:r w:rsidR="002D6FE2">
        <w:t xml:space="preserve">principles of scheduling </w:t>
      </w:r>
      <w:r w:rsidR="001B73DB">
        <w:t>methodologies</w:t>
      </w:r>
      <w:r w:rsidR="00C3167F">
        <w:t xml:space="preserve"> and</w:t>
      </w:r>
      <w:r w:rsidR="00F23585">
        <w:t xml:space="preserve"> to</w:t>
      </w:r>
      <w:r w:rsidR="00C3167F">
        <w:t xml:space="preserve"> the highly specialized and complex </w:t>
      </w:r>
      <w:r w:rsidR="00025EF0">
        <w:t>process of resolving delay claims</w:t>
      </w:r>
      <w:r w:rsidR="00AE3A93">
        <w:t>.</w:t>
      </w:r>
      <w:r w:rsidR="00E810B2">
        <w:t xml:space="preserve"> </w:t>
      </w:r>
    </w:p>
    <w:p w14:paraId="7388CF14" w14:textId="12513F5F" w:rsidR="008A4361" w:rsidRDefault="008A4361" w:rsidP="008A4361">
      <w:pPr>
        <w:spacing w:after="160" w:line="259" w:lineRule="auto"/>
      </w:pPr>
      <w:r>
        <w:tab/>
      </w:r>
      <w:r w:rsidR="00B44A10">
        <w:t>Begin by reading</w:t>
      </w:r>
      <w:r w:rsidR="00807CA7">
        <w:t xml:space="preserve"> the introduction and all of Part I (Delay) in</w:t>
      </w:r>
      <w:r w:rsidR="00B44A10" w:rsidRPr="00932002">
        <w:t xml:space="preserve"> </w:t>
      </w:r>
      <w:r w:rsidR="00B44A10" w:rsidRPr="00807CA7">
        <w:rPr>
          <w:i/>
          <w:iCs/>
        </w:rPr>
        <w:t>It's a Matter of Time: Delay and Change</w:t>
      </w:r>
      <w:r w:rsidR="00B44A10" w:rsidRPr="00932002">
        <w:t xml:space="preserve">, 8 </w:t>
      </w:r>
      <w:r w:rsidR="00B44A10" w:rsidRPr="00807CA7">
        <w:t>Am. Coll. Constr. Laws. J</w:t>
      </w:r>
      <w:r w:rsidR="00B44A10" w:rsidRPr="00932002">
        <w:t>. 1 (</w:t>
      </w:r>
      <w:r w:rsidR="00AF4CED">
        <w:t>Feb</w:t>
      </w:r>
      <w:r w:rsidR="002741DF">
        <w:t>ruary</w:t>
      </w:r>
      <w:r w:rsidR="005265BB">
        <w:t xml:space="preserve"> </w:t>
      </w:r>
      <w:r w:rsidR="00B44A10" w:rsidRPr="00932002">
        <w:t>2014)</w:t>
      </w:r>
      <w:r w:rsidR="00807CA7">
        <w:t xml:space="preserve">, by </w:t>
      </w:r>
      <w:r w:rsidR="00807CA7" w:rsidRPr="00932002">
        <w:t>James Duffy O'Connor</w:t>
      </w:r>
      <w:r w:rsidR="00B44A10" w:rsidRPr="00932002">
        <w:t>.</w:t>
      </w:r>
      <w:r w:rsidR="00857C6C">
        <w:t xml:space="preserve"> This article </w:t>
      </w:r>
      <w:r w:rsidR="009B0EBF">
        <w:t>provid</w:t>
      </w:r>
      <w:r w:rsidR="003257EF">
        <w:t>es</w:t>
      </w:r>
      <w:r w:rsidR="00857C6C">
        <w:t xml:space="preserve"> a</w:t>
      </w:r>
      <w:r w:rsidR="009B0EBF">
        <w:t xml:space="preserve"> </w:t>
      </w:r>
      <w:r w:rsidR="002515E2">
        <w:t>concise</w:t>
      </w:r>
      <w:r w:rsidR="009B0EBF">
        <w:t xml:space="preserve"> introduction to schedule and delay </w:t>
      </w:r>
      <w:r w:rsidR="00525303">
        <w:t>issues</w:t>
      </w:r>
      <w:r w:rsidR="009B0EBF">
        <w:t>.</w:t>
      </w:r>
      <w:r w:rsidR="00807CA7">
        <w:t xml:space="preserve"> </w:t>
      </w:r>
      <w:r w:rsidR="00605613">
        <w:t xml:space="preserve">The discussion begins with an interesting </w:t>
      </w:r>
      <w:r w:rsidR="005A0736">
        <w:t xml:space="preserve">historical </w:t>
      </w:r>
      <w:r w:rsidR="00605613">
        <w:t>perspective</w:t>
      </w:r>
      <w:r w:rsidR="00480854">
        <w:t>.</w:t>
      </w:r>
      <w:r w:rsidR="005752FA">
        <w:t xml:space="preserve"> Part I.</w:t>
      </w:r>
      <w:r w:rsidR="004D2F5F">
        <w:t>D.</w:t>
      </w:r>
      <w:r w:rsidR="005752FA">
        <w:t xml:space="preserve"> </w:t>
      </w:r>
      <w:r w:rsidR="002477E2">
        <w:t>review</w:t>
      </w:r>
      <w:r w:rsidR="0029445F">
        <w:t>s</w:t>
      </w:r>
      <w:r w:rsidR="005752FA">
        <w:t xml:space="preserve"> legal principles</w:t>
      </w:r>
      <w:r w:rsidR="0008399D">
        <w:t xml:space="preserve"> </w:t>
      </w:r>
      <w:r w:rsidR="005752FA">
        <w:t>concerning timely performance</w:t>
      </w:r>
      <w:r w:rsidR="00A83D4C">
        <w:t xml:space="preserve"> and </w:t>
      </w:r>
      <w:r w:rsidR="002D037D">
        <w:t xml:space="preserve">notes </w:t>
      </w:r>
      <w:r w:rsidR="00B03FBB">
        <w:t>several</w:t>
      </w:r>
      <w:r w:rsidR="002D037D">
        <w:t xml:space="preserve"> </w:t>
      </w:r>
      <w:r w:rsidR="00A15F8C">
        <w:t xml:space="preserve">relevant </w:t>
      </w:r>
      <w:r w:rsidR="00B03FBB">
        <w:t>contrac</w:t>
      </w:r>
      <w:r w:rsidR="0069103E">
        <w:t>ting practices</w:t>
      </w:r>
      <w:r w:rsidR="005752FA">
        <w:t>.</w:t>
      </w:r>
      <w:r w:rsidR="00D63BFA">
        <w:t xml:space="preserve"> Part I. E covers </w:t>
      </w:r>
      <w:r w:rsidR="00623773">
        <w:t>some critical procedural issues</w:t>
      </w:r>
      <w:r w:rsidR="00AB2C38">
        <w:t xml:space="preserve">, and Part I. F concludes the delay discussion with an important </w:t>
      </w:r>
      <w:r w:rsidR="007D4C6A">
        <w:t>summary</w:t>
      </w:r>
      <w:r w:rsidR="00AB2C38">
        <w:t xml:space="preserve"> of the </w:t>
      </w:r>
      <w:r w:rsidR="007307D4">
        <w:t xml:space="preserve">concepts of </w:t>
      </w:r>
      <w:r w:rsidR="00AB2C38">
        <w:t>excusable</w:t>
      </w:r>
      <w:r w:rsidR="007307D4">
        <w:t>, compensable,</w:t>
      </w:r>
      <w:r w:rsidR="00AB2C38">
        <w:t xml:space="preserve"> and inexcusable delays.</w:t>
      </w:r>
      <w:r w:rsidR="00857C6C">
        <w:t xml:space="preserve"> </w:t>
      </w:r>
    </w:p>
    <w:p w14:paraId="0977C539" w14:textId="674A4094" w:rsidR="003257EF" w:rsidRDefault="003257EF" w:rsidP="008A4361">
      <w:pPr>
        <w:spacing w:after="160" w:line="259" w:lineRule="auto"/>
      </w:pPr>
      <w:r>
        <w:tab/>
        <w:t xml:space="preserve">Next, </w:t>
      </w:r>
      <w:r w:rsidR="00670564">
        <w:t>for a</w:t>
      </w:r>
      <w:r w:rsidR="00A975F4">
        <w:t xml:space="preserve"> more complete</w:t>
      </w:r>
      <w:r w:rsidR="00453713">
        <w:t xml:space="preserve"> picture of</w:t>
      </w:r>
      <w:r w:rsidR="008179BE">
        <w:t xml:space="preserve"> </w:t>
      </w:r>
      <w:r w:rsidR="00670564">
        <w:t>delay claim</w:t>
      </w:r>
      <w:r w:rsidR="008879A0">
        <w:t>s</w:t>
      </w:r>
      <w:r w:rsidR="00670564">
        <w:t xml:space="preserve">, </w:t>
      </w:r>
      <w:r>
        <w:t>read</w:t>
      </w:r>
      <w:r w:rsidR="00670564" w:rsidRPr="00F2305A">
        <w:t xml:space="preserve"> </w:t>
      </w:r>
      <w:r w:rsidR="00670564" w:rsidRPr="00D251DA">
        <w:rPr>
          <w:i/>
          <w:iCs/>
        </w:rPr>
        <w:t>Effective Presentation of the Forensic Schedule Analysis</w:t>
      </w:r>
      <w:r w:rsidR="00670564" w:rsidRPr="00D251DA">
        <w:t xml:space="preserve">, </w:t>
      </w:r>
      <w:r w:rsidR="007C5A64">
        <w:t xml:space="preserve">36 </w:t>
      </w:r>
      <w:r w:rsidR="00670564" w:rsidRPr="00D251DA">
        <w:t>Constr. Law.</w:t>
      </w:r>
      <w:r w:rsidR="007C5A64">
        <w:t xml:space="preserve"> </w:t>
      </w:r>
      <w:r w:rsidR="00CC5604">
        <w:t>19</w:t>
      </w:r>
      <w:r w:rsidR="00670564" w:rsidRPr="00D251DA">
        <w:t xml:space="preserve"> </w:t>
      </w:r>
      <w:r w:rsidR="00EC2D27">
        <w:t>(</w:t>
      </w:r>
      <w:r w:rsidR="00670564" w:rsidRPr="00F2305A">
        <w:t>Winter 2016</w:t>
      </w:r>
      <w:r w:rsidR="00EC2D27">
        <w:t>)</w:t>
      </w:r>
      <w:r w:rsidR="009935A0">
        <w:t>,</w:t>
      </w:r>
      <w:r w:rsidR="00D251DA">
        <w:t xml:space="preserve"> by </w:t>
      </w:r>
      <w:r w:rsidR="004A42FB" w:rsidRPr="00F2305A">
        <w:t xml:space="preserve">Judah Lifschitz, Laura Fraher, </w:t>
      </w:r>
      <w:r w:rsidR="009935A0">
        <w:t>and</w:t>
      </w:r>
      <w:r w:rsidR="004A42FB">
        <w:t xml:space="preserve"> </w:t>
      </w:r>
      <w:r w:rsidR="004A42FB" w:rsidRPr="00F2305A">
        <w:t>Denise Martini</w:t>
      </w:r>
      <w:r w:rsidR="00670564">
        <w:t>.</w:t>
      </w:r>
      <w:r w:rsidR="00596A29">
        <w:t xml:space="preserve"> This article</w:t>
      </w:r>
      <w:r w:rsidR="00531E25">
        <w:t xml:space="preserve"> </w:t>
      </w:r>
      <w:r w:rsidR="000666FB">
        <w:t>emphasizes</w:t>
      </w:r>
      <w:r w:rsidR="00596A29">
        <w:t xml:space="preserve"> evidentiary considerations</w:t>
      </w:r>
      <w:r w:rsidR="00EA6662">
        <w:t xml:space="preserve"> relating to delay claims and </w:t>
      </w:r>
      <w:r w:rsidR="0049530D">
        <w:t>offers</w:t>
      </w:r>
      <w:r w:rsidR="00CB69F1">
        <w:t xml:space="preserve"> a practical </w:t>
      </w:r>
      <w:r w:rsidR="00531E25">
        <w:t>guide to presenting</w:t>
      </w:r>
      <w:r w:rsidR="00CB69F1">
        <w:t xml:space="preserve"> </w:t>
      </w:r>
      <w:r w:rsidR="00596A29">
        <w:t>direct testimony and conducting cross-examination</w:t>
      </w:r>
      <w:r w:rsidR="008858D2">
        <w:t>.</w:t>
      </w:r>
      <w:r w:rsidR="00531E25">
        <w:t xml:space="preserve"> </w:t>
      </w:r>
      <w:r w:rsidR="008858D2">
        <w:t>As such, it</w:t>
      </w:r>
      <w:r w:rsidR="00CB69F1">
        <w:t xml:space="preserve"> provides a</w:t>
      </w:r>
      <w:r w:rsidR="00160EE0">
        <w:t xml:space="preserve">n effective transition </w:t>
      </w:r>
      <w:r w:rsidR="00601C16">
        <w:t xml:space="preserve">from </w:t>
      </w:r>
      <w:r w:rsidR="00D36155">
        <w:t>the relatively simple</w:t>
      </w:r>
      <w:r w:rsidR="002603B8">
        <w:t>r</w:t>
      </w:r>
      <w:r w:rsidR="00D36155">
        <w:t xml:space="preserve"> </w:t>
      </w:r>
      <w:r w:rsidR="00F02C31">
        <w:t>situations</w:t>
      </w:r>
      <w:r w:rsidR="00D36155">
        <w:t xml:space="preserve"> </w:t>
      </w:r>
      <w:r w:rsidR="00650C49">
        <w:t>feature</w:t>
      </w:r>
      <w:r w:rsidR="009270C9">
        <w:t>d</w:t>
      </w:r>
      <w:r w:rsidR="00650C49">
        <w:t xml:space="preserve"> in much of</w:t>
      </w:r>
      <w:r w:rsidR="00D36155">
        <w:t xml:space="preserve"> O’Connor’s articl</w:t>
      </w:r>
      <w:r w:rsidR="00134C5E">
        <w:t>e</w:t>
      </w:r>
      <w:r w:rsidR="00E97415">
        <w:t xml:space="preserve"> </w:t>
      </w:r>
      <w:r w:rsidR="00134C5E">
        <w:t>(</w:t>
      </w:r>
      <w:r w:rsidR="004C23C4">
        <w:t>disputes</w:t>
      </w:r>
      <w:r w:rsidR="00134C5E">
        <w:t xml:space="preserve"> </w:t>
      </w:r>
      <w:r w:rsidR="00D45F74">
        <w:t xml:space="preserve">largely stemming </w:t>
      </w:r>
      <w:r w:rsidR="00E97415">
        <w:t>from discrete events with relatively direct time impacts</w:t>
      </w:r>
      <w:r w:rsidR="00601C16">
        <w:t>)</w:t>
      </w:r>
      <w:r w:rsidR="00D36155">
        <w:t xml:space="preserve"> to more complicated ones that often </w:t>
      </w:r>
      <w:r w:rsidR="009C12E9">
        <w:t>involve conflicting evidence</w:t>
      </w:r>
      <w:r w:rsidR="009270C9">
        <w:t>,</w:t>
      </w:r>
      <w:r w:rsidR="00877F1D">
        <w:t xml:space="preserve"> multiple delaying events,</w:t>
      </w:r>
      <w:r w:rsidR="009C12E9">
        <w:t xml:space="preserve"> and competing expert analyses</w:t>
      </w:r>
      <w:r w:rsidR="00596A29">
        <w:t xml:space="preserve">. </w:t>
      </w:r>
      <w:r w:rsidR="00967F98">
        <w:t>The</w:t>
      </w:r>
      <w:r w:rsidR="00554E82">
        <w:t xml:space="preserve"> authors promote a</w:t>
      </w:r>
      <w:r w:rsidR="00967F98">
        <w:t xml:space="preserve"> </w:t>
      </w:r>
      <w:r w:rsidR="005C6628">
        <w:t xml:space="preserve">storytelling </w:t>
      </w:r>
      <w:r w:rsidR="00967F98">
        <w:t xml:space="preserve">theme </w:t>
      </w:r>
      <w:r w:rsidR="00AA42DE">
        <w:t xml:space="preserve">that </w:t>
      </w:r>
      <w:r w:rsidR="00AF68D6">
        <w:t xml:space="preserve">reflects </w:t>
      </w:r>
      <w:r w:rsidR="008F17A2">
        <w:t xml:space="preserve">an experienced </w:t>
      </w:r>
      <w:r w:rsidR="00152A32">
        <w:t>legal advocate’s</w:t>
      </w:r>
      <w:r w:rsidR="008F17A2">
        <w:t xml:space="preserve"> approach to</w:t>
      </w:r>
      <w:r w:rsidR="00CD667C">
        <w:t xml:space="preserve"> resolving</w:t>
      </w:r>
      <w:r w:rsidR="008F17A2">
        <w:t xml:space="preserve"> complex </w:t>
      </w:r>
      <w:r w:rsidR="00CD667C">
        <w:t xml:space="preserve">delay </w:t>
      </w:r>
      <w:r w:rsidR="00554E82">
        <w:t>claims</w:t>
      </w:r>
      <w:r w:rsidR="00430F4B">
        <w:t xml:space="preserve">. </w:t>
      </w:r>
      <w:r w:rsidR="00774954">
        <w:t>They effectively demonstrate the</w:t>
      </w:r>
      <w:r w:rsidR="00200B63">
        <w:t xml:space="preserve"> kind of</w:t>
      </w:r>
      <w:r w:rsidR="00CD667C">
        <w:t xml:space="preserve"> case</w:t>
      </w:r>
      <w:r w:rsidR="00200B63">
        <w:t xml:space="preserve"> preparation and </w:t>
      </w:r>
      <w:r w:rsidR="00774954">
        <w:t xml:space="preserve">evidentiary </w:t>
      </w:r>
      <w:r w:rsidR="00167255">
        <w:t>strategies</w:t>
      </w:r>
      <w:r w:rsidR="00200B63">
        <w:t xml:space="preserve"> </w:t>
      </w:r>
      <w:r w:rsidR="00774954">
        <w:t xml:space="preserve">that characterize </w:t>
      </w:r>
      <w:r w:rsidR="004218C7">
        <w:t>delay claim litigation</w:t>
      </w:r>
      <w:r w:rsidR="00AA470E">
        <w:t xml:space="preserve"> and arbitration</w:t>
      </w:r>
      <w:r w:rsidR="004218C7">
        <w:t>.</w:t>
      </w:r>
      <w:r w:rsidR="009F7FA1">
        <w:t xml:space="preserve"> </w:t>
      </w:r>
      <w:r w:rsidR="008E4BE0">
        <w:t>The article</w:t>
      </w:r>
      <w:r w:rsidR="00B23B22">
        <w:t xml:space="preserve"> also</w:t>
      </w:r>
      <w:r w:rsidR="005C35CF">
        <w:t xml:space="preserve"> </w:t>
      </w:r>
      <w:r w:rsidR="0016361A">
        <w:t xml:space="preserve">briefly </w:t>
      </w:r>
      <w:r w:rsidR="00B23B22">
        <w:t>introduces</w:t>
      </w:r>
      <w:r w:rsidR="005C35CF">
        <w:t xml:space="preserve"> the</w:t>
      </w:r>
      <w:r w:rsidR="00256147">
        <w:t xml:space="preserve"> critical path method </w:t>
      </w:r>
      <w:r w:rsidR="00CE790E">
        <w:t xml:space="preserve">(CPM) </w:t>
      </w:r>
      <w:r w:rsidR="00B119BE">
        <w:t>for</w:t>
      </w:r>
      <w:r w:rsidR="00256147">
        <w:t xml:space="preserve"> </w:t>
      </w:r>
      <w:r w:rsidR="00B119BE">
        <w:t xml:space="preserve">developing and managing a project schedule and for analyzing </w:t>
      </w:r>
      <w:r w:rsidR="00DC4630">
        <w:t>delays</w:t>
      </w:r>
      <w:r w:rsidR="000739B7">
        <w:t>. T</w:t>
      </w:r>
      <w:r w:rsidR="0098272B">
        <w:t>he third assigned reading</w:t>
      </w:r>
      <w:r w:rsidR="000739B7">
        <w:t>, to which we now turn,</w:t>
      </w:r>
      <w:r w:rsidR="0098272B">
        <w:t xml:space="preserve"> </w:t>
      </w:r>
      <w:r w:rsidR="00C71D48">
        <w:t xml:space="preserve">provides a more comprehensive discussion of </w:t>
      </w:r>
      <w:r w:rsidR="00167D99">
        <w:t>scheduling methodolog</w:t>
      </w:r>
      <w:r w:rsidR="00897963">
        <w:t>ies</w:t>
      </w:r>
      <w:r w:rsidR="00FD6D43">
        <w:t xml:space="preserve">. </w:t>
      </w:r>
    </w:p>
    <w:p w14:paraId="31F6E5F4" w14:textId="77777777" w:rsidR="008735FE" w:rsidRDefault="00167255" w:rsidP="008A4361">
      <w:pPr>
        <w:spacing w:after="160" w:line="259" w:lineRule="auto"/>
      </w:pPr>
      <w:r>
        <w:tab/>
        <w:t>Finally, read</w:t>
      </w:r>
      <w:r w:rsidR="00B82974" w:rsidRPr="0006015D">
        <w:t xml:space="preserve">, </w:t>
      </w:r>
      <w:r w:rsidR="00B82974" w:rsidRPr="00B82974">
        <w:rPr>
          <w:i/>
          <w:iCs/>
        </w:rPr>
        <w:t>Successful Forensic Schedule Analysis</w:t>
      </w:r>
      <w:r w:rsidR="00B82974" w:rsidRPr="0006015D">
        <w:t xml:space="preserve">, 1 </w:t>
      </w:r>
      <w:r w:rsidR="00B82974" w:rsidRPr="00B82974">
        <w:t>Am. Coll. Constr. Laws</w:t>
      </w:r>
      <w:r w:rsidR="00B82974">
        <w:t>. J.</w:t>
      </w:r>
      <w:r w:rsidR="00B82974" w:rsidRPr="0006015D">
        <w:t xml:space="preserve"> 7</w:t>
      </w:r>
      <w:r w:rsidR="00B82974">
        <w:t xml:space="preserve"> (2007)</w:t>
      </w:r>
      <w:r w:rsidR="00B53B9E">
        <w:t xml:space="preserve">, by </w:t>
      </w:r>
      <w:r w:rsidR="00B53B9E" w:rsidRPr="0006015D">
        <w:t xml:space="preserve">Jennifer W. Fletcher </w:t>
      </w:r>
      <w:r w:rsidR="00B53B9E">
        <w:t>&amp;</w:t>
      </w:r>
      <w:r w:rsidR="00B53B9E" w:rsidRPr="0006015D">
        <w:t xml:space="preserve"> Laura J. Stipanowich</w:t>
      </w:r>
      <w:r w:rsidR="00B82974">
        <w:t>.</w:t>
      </w:r>
      <w:r w:rsidR="00FF16E4">
        <w:t xml:space="preserve"> Th</w:t>
      </w:r>
      <w:r w:rsidR="00BF6BB4">
        <w:t>is</w:t>
      </w:r>
      <w:r w:rsidR="00FF16E4">
        <w:t xml:space="preserve"> article</w:t>
      </w:r>
      <w:r w:rsidR="00BF6BB4">
        <w:t xml:space="preserve"> </w:t>
      </w:r>
      <w:r w:rsidR="00AF7608">
        <w:t>takes a deep dive</w:t>
      </w:r>
      <w:r w:rsidR="00FF16E4">
        <w:t xml:space="preserve"> into scheduling analysis</w:t>
      </w:r>
      <w:r w:rsidR="00702536">
        <w:t>, including alternative methodologies that expert</w:t>
      </w:r>
      <w:r w:rsidR="003C1CD8">
        <w:t>s</w:t>
      </w:r>
      <w:r w:rsidR="00702536">
        <w:t xml:space="preserve"> use.</w:t>
      </w:r>
      <w:r w:rsidR="00971DF7">
        <w:t xml:space="preserve"> </w:t>
      </w:r>
      <w:r w:rsidR="00FF16E4">
        <w:t>Part II</w:t>
      </w:r>
      <w:r w:rsidR="008D4668">
        <w:t xml:space="preserve"> </w:t>
      </w:r>
      <w:r w:rsidR="00F76A30">
        <w:t xml:space="preserve">covers </w:t>
      </w:r>
      <w:r w:rsidR="00CC2A3B">
        <w:t xml:space="preserve">some of the same evidentiary considerations discussed in the article by </w:t>
      </w:r>
      <w:r w:rsidR="00CC2A3B" w:rsidRPr="00F2305A">
        <w:t xml:space="preserve">Lifschitz, Fraher, </w:t>
      </w:r>
      <w:r w:rsidR="00CC2A3B">
        <w:t>and</w:t>
      </w:r>
      <w:r w:rsidR="00CC2A3B" w:rsidRPr="00F2305A">
        <w:t xml:space="preserve"> Martini</w:t>
      </w:r>
      <w:r w:rsidR="00CC2A3B">
        <w:t xml:space="preserve">. </w:t>
      </w:r>
      <w:r w:rsidR="00DD6B41">
        <w:t>Part II</w:t>
      </w:r>
      <w:r w:rsidR="00E4303C">
        <w:t>I</w:t>
      </w:r>
      <w:r w:rsidR="00DD6B41">
        <w:t xml:space="preserve">. </w:t>
      </w:r>
      <w:r w:rsidR="000E250B">
        <w:t>discusses experts and</w:t>
      </w:r>
      <w:r w:rsidR="000F4ED3">
        <w:t xml:space="preserve"> delay analysis, </w:t>
      </w:r>
      <w:r w:rsidR="000821B1">
        <w:t xml:space="preserve">emphasizing the </w:t>
      </w:r>
      <w:r w:rsidR="00B6046A">
        <w:t>role</w:t>
      </w:r>
      <w:r w:rsidR="000821B1">
        <w:t xml:space="preserve"> of an </w:t>
      </w:r>
      <w:r w:rsidR="003B1A5B">
        <w:t>as</w:t>
      </w:r>
      <w:r w:rsidR="008503C2">
        <w:t>-</w:t>
      </w:r>
      <w:r w:rsidR="003B1A5B">
        <w:t>planned</w:t>
      </w:r>
      <w:r w:rsidR="000821B1">
        <w:t xml:space="preserve"> or baseline schedule</w:t>
      </w:r>
      <w:r w:rsidR="00040AFD">
        <w:t xml:space="preserve">, </w:t>
      </w:r>
      <w:r w:rsidR="0064093D">
        <w:t xml:space="preserve">the importance of </w:t>
      </w:r>
      <w:r w:rsidR="00040AFD">
        <w:t>accurate</w:t>
      </w:r>
      <w:r w:rsidR="00063DFB">
        <w:t xml:space="preserve"> and timely</w:t>
      </w:r>
      <w:r w:rsidR="00040AFD">
        <w:t xml:space="preserve"> schedule updates </w:t>
      </w:r>
      <w:r w:rsidR="00DA3F6A">
        <w:t xml:space="preserve">based on </w:t>
      </w:r>
      <w:r w:rsidR="00C52845">
        <w:t>what actually happens on site,</w:t>
      </w:r>
      <w:r w:rsidR="000821B1">
        <w:t xml:space="preserve"> and</w:t>
      </w:r>
      <w:r w:rsidR="000E387D">
        <w:t xml:space="preserve"> </w:t>
      </w:r>
      <w:r w:rsidR="00FE438B">
        <w:t>the preference for</w:t>
      </w:r>
      <w:r w:rsidR="00C52845">
        <w:t xml:space="preserve"> </w:t>
      </w:r>
      <w:r w:rsidR="000F4ED3">
        <w:t>CPM</w:t>
      </w:r>
      <w:r w:rsidR="00FF16E4">
        <w:t xml:space="preserve"> </w:t>
      </w:r>
      <w:r w:rsidR="00C52845">
        <w:t>technology</w:t>
      </w:r>
      <w:r w:rsidR="000209A3">
        <w:t xml:space="preserve">. </w:t>
      </w:r>
      <w:r w:rsidR="00FB53D5">
        <w:t>Part III</w:t>
      </w:r>
      <w:r w:rsidR="00380979">
        <w:t xml:space="preserve"> </w:t>
      </w:r>
      <w:r w:rsidR="006E2C1B">
        <w:t xml:space="preserve">also </w:t>
      </w:r>
      <w:r w:rsidR="00263705">
        <w:t xml:space="preserve">reviews how </w:t>
      </w:r>
      <w:r w:rsidR="00FF6B8E">
        <w:t>judges (and</w:t>
      </w:r>
      <w:r w:rsidR="00FB67E1">
        <w:t>, by analogy, arbitrators)</w:t>
      </w:r>
      <w:r w:rsidR="00FF6B8E">
        <w:t xml:space="preserve"> </w:t>
      </w:r>
      <w:r w:rsidR="00031A63">
        <w:t xml:space="preserve">may </w:t>
      </w:r>
      <w:r w:rsidR="00FF6B8E">
        <w:t xml:space="preserve">assess </w:t>
      </w:r>
      <w:r w:rsidR="00031A63">
        <w:t xml:space="preserve">expert </w:t>
      </w:r>
      <w:r w:rsidR="00FF6B8E">
        <w:t>testimony</w:t>
      </w:r>
      <w:r w:rsidR="00AB180B">
        <w:t>.</w:t>
      </w:r>
      <w:r w:rsidR="00BB680F">
        <w:t xml:space="preserve"> </w:t>
      </w:r>
      <w:r w:rsidR="006F61DE">
        <w:t>T</w:t>
      </w:r>
      <w:r w:rsidR="006448E1">
        <w:t xml:space="preserve">ake special care in </w:t>
      </w:r>
      <w:r w:rsidR="00E9595F">
        <w:t>reading</w:t>
      </w:r>
      <w:r w:rsidR="00AB180B">
        <w:t xml:space="preserve"> Part IV, on </w:t>
      </w:r>
      <w:r w:rsidR="00FE77AD">
        <w:t xml:space="preserve">forensic scheduling </w:t>
      </w:r>
      <w:r w:rsidR="00C232CA">
        <w:t>methods</w:t>
      </w:r>
      <w:r w:rsidR="007F2520">
        <w:t xml:space="preserve">. </w:t>
      </w:r>
      <w:r w:rsidR="00BC5C55">
        <w:t>Th</w:t>
      </w:r>
      <w:r w:rsidR="00A564D4">
        <w:t>at</w:t>
      </w:r>
      <w:r w:rsidR="00BC5C55">
        <w:t xml:space="preserve"> section</w:t>
      </w:r>
      <w:r w:rsidR="00010152">
        <w:t xml:space="preserve"> begins with a detailed discussion of CPM scheduling.</w:t>
      </w:r>
      <w:r w:rsidR="000D3E55">
        <w:t xml:space="preserve"> </w:t>
      </w:r>
    </w:p>
    <w:p w14:paraId="3EE1C2FF" w14:textId="275F2222" w:rsidR="00CB158B" w:rsidRDefault="005E5EAA" w:rsidP="008735FE">
      <w:pPr>
        <w:spacing w:after="160" w:line="259" w:lineRule="auto"/>
        <w:ind w:firstLine="720"/>
      </w:pPr>
      <w:r>
        <w:lastRenderedPageBreak/>
        <w:t xml:space="preserve">To the </w:t>
      </w:r>
      <w:r w:rsidR="000D556C">
        <w:t>uninitiated</w:t>
      </w:r>
      <w:r>
        <w:t>,</w:t>
      </w:r>
      <w:r w:rsidR="000D556C">
        <w:t xml:space="preserve"> </w:t>
      </w:r>
      <w:r w:rsidR="000D3E55">
        <w:t xml:space="preserve">a technical </w:t>
      </w:r>
      <w:r w:rsidR="000218E6">
        <w:t>exposition on</w:t>
      </w:r>
      <w:r w:rsidR="00106C9D">
        <w:t xml:space="preserve"> CPM schedul</w:t>
      </w:r>
      <w:r w:rsidR="00EC59EA">
        <w:t>ing</w:t>
      </w:r>
      <w:r w:rsidR="00106C9D">
        <w:t xml:space="preserve"> </w:t>
      </w:r>
      <w:r w:rsidR="00105ED1">
        <w:t>can be</w:t>
      </w:r>
      <w:r w:rsidR="00106C9D">
        <w:t xml:space="preserve"> </w:t>
      </w:r>
      <w:r w:rsidR="00105ED1">
        <w:t xml:space="preserve">confusing. </w:t>
      </w:r>
      <w:r w:rsidR="00285154">
        <w:t xml:space="preserve">An overly simplified </w:t>
      </w:r>
      <w:r w:rsidR="006F6CF9">
        <w:t>explanation</w:t>
      </w:r>
      <w:r w:rsidR="00E302E7">
        <w:t xml:space="preserve"> may help a</w:t>
      </w:r>
      <w:r w:rsidR="006F6CF9">
        <w:t xml:space="preserve">s a </w:t>
      </w:r>
      <w:r w:rsidR="00E302E7">
        <w:t>first, albeit incomplete</w:t>
      </w:r>
      <w:r w:rsidR="007076D9">
        <w:t>,</w:t>
      </w:r>
      <w:r w:rsidR="00E302E7">
        <w:t xml:space="preserve"> step toward understanding</w:t>
      </w:r>
      <w:r w:rsidR="006F6CF9">
        <w:t xml:space="preserve"> </w:t>
      </w:r>
      <w:r w:rsidR="006C1D96">
        <w:t>a</w:t>
      </w:r>
      <w:r w:rsidR="006F6CF9">
        <w:t xml:space="preserve"> </w:t>
      </w:r>
      <w:r w:rsidR="006C1D96">
        <w:t>characteristic</w:t>
      </w:r>
      <w:r w:rsidR="00E5404F">
        <w:t xml:space="preserve"> </w:t>
      </w:r>
      <w:r w:rsidR="003D3FAD">
        <w:t>of</w:t>
      </w:r>
      <w:r w:rsidR="00E5404F">
        <w:t xml:space="preserve"> CPM</w:t>
      </w:r>
      <w:r w:rsidR="003D3FAD">
        <w:t xml:space="preserve"> </w:t>
      </w:r>
      <w:r w:rsidR="00E41582">
        <w:t>technology</w:t>
      </w:r>
      <w:r w:rsidR="006B19BB">
        <w:t xml:space="preserve"> that distinguishes it from </w:t>
      </w:r>
      <w:r w:rsidR="00EC3FC7">
        <w:t>the prior state of the art</w:t>
      </w:r>
      <w:r w:rsidR="004D0A68">
        <w:t xml:space="preserve">. </w:t>
      </w:r>
      <w:r w:rsidR="001C16D7">
        <w:t>A s</w:t>
      </w:r>
      <w:r w:rsidR="000E24A2">
        <w:t>imple bar chart</w:t>
      </w:r>
      <w:r w:rsidR="00AB1F2F">
        <w:t>, which dominated before</w:t>
      </w:r>
      <w:r w:rsidR="004B144B">
        <w:t xml:space="preserve"> CPM technology,</w:t>
      </w:r>
      <w:r w:rsidR="000E24A2">
        <w:t xml:space="preserve"> show</w:t>
      </w:r>
      <w:r w:rsidR="00774527">
        <w:t>s</w:t>
      </w:r>
      <w:r w:rsidR="000E24A2">
        <w:t xml:space="preserve"> </w:t>
      </w:r>
      <w:r w:rsidR="004B144B">
        <w:t>a</w:t>
      </w:r>
      <w:r w:rsidR="00D96FB2">
        <w:t xml:space="preserve"> project’s timeline</w:t>
      </w:r>
      <w:r w:rsidR="004B144B">
        <w:t xml:space="preserve"> for identified activities</w:t>
      </w:r>
      <w:r w:rsidR="00D96FB2">
        <w:t>, whether</w:t>
      </w:r>
      <w:r w:rsidR="00F13D98">
        <w:t xml:space="preserve"> as proposed (the as-planned schedule) or as</w:t>
      </w:r>
      <w:r w:rsidR="006203B4">
        <w:t xml:space="preserve"> actually accomplished (the as-built schedule). By contrast</w:t>
      </w:r>
      <w:r w:rsidR="00B07B76">
        <w:t xml:space="preserve">, a CPM schedule </w:t>
      </w:r>
      <w:r w:rsidR="00D35132">
        <w:t>incorporates</w:t>
      </w:r>
      <w:r w:rsidR="00B54960">
        <w:t xml:space="preserve"> </w:t>
      </w:r>
      <w:r w:rsidR="00D20D0B">
        <w:t>links or</w:t>
      </w:r>
      <w:r w:rsidR="00523A4C">
        <w:t xml:space="preserve"> </w:t>
      </w:r>
      <w:r w:rsidR="00B54960">
        <w:t>relationships</w:t>
      </w:r>
      <w:r w:rsidR="003153DE">
        <w:t>, showing which</w:t>
      </w:r>
      <w:r w:rsidR="00B54960">
        <w:t xml:space="preserve"> activities must occur</w:t>
      </w:r>
      <w:r w:rsidR="008C4EC5">
        <w:t xml:space="preserve"> before other</w:t>
      </w:r>
      <w:r w:rsidR="00D35132">
        <w:t>s</w:t>
      </w:r>
      <w:r w:rsidR="00610270">
        <w:t xml:space="preserve"> may begin</w:t>
      </w:r>
      <w:r w:rsidR="00263165">
        <w:t xml:space="preserve"> and which activities have “float” (</w:t>
      </w:r>
      <w:r w:rsidR="00860869">
        <w:t>flexible dates</w:t>
      </w:r>
      <w:r w:rsidR="00E5182C">
        <w:t xml:space="preserve"> for</w:t>
      </w:r>
      <w:r w:rsidR="00860869">
        <w:t xml:space="preserve"> starting and completing</w:t>
      </w:r>
      <w:r w:rsidR="003153DE">
        <w:t xml:space="preserve"> an activity)</w:t>
      </w:r>
      <w:r w:rsidR="00610270">
        <w:t>.</w:t>
      </w:r>
      <w:r w:rsidR="00D35132">
        <w:t xml:space="preserve"> </w:t>
      </w:r>
      <w:r w:rsidR="003153DE">
        <w:t>The activities with no float are on the project’s critical path</w:t>
      </w:r>
      <w:r w:rsidR="000939B9">
        <w:t xml:space="preserve">, meaning that one day’s delay in any of these activities will </w:t>
      </w:r>
      <w:r w:rsidR="009A7157">
        <w:t xml:space="preserve">either </w:t>
      </w:r>
      <w:r w:rsidR="000939B9">
        <w:t>cause a day’s delay in the project’s completion</w:t>
      </w:r>
      <w:r w:rsidR="009A7157">
        <w:t xml:space="preserve"> or will require adjustments to </w:t>
      </w:r>
      <w:r w:rsidR="00575BF2">
        <w:t>get the project back on schedule.</w:t>
      </w:r>
    </w:p>
    <w:p w14:paraId="5A49A491" w14:textId="223B4D9E" w:rsidR="00BF6BFD" w:rsidRDefault="00621863" w:rsidP="00CB158B">
      <w:pPr>
        <w:spacing w:after="160" w:line="259" w:lineRule="auto"/>
        <w:ind w:firstLine="720"/>
      </w:pPr>
      <w:r>
        <w:t>Do not be overly concerned if you</w:t>
      </w:r>
      <w:r w:rsidR="007F2520">
        <w:t xml:space="preserve"> </w:t>
      </w:r>
      <w:r w:rsidR="004C21ED">
        <w:t xml:space="preserve">struggle to understand </w:t>
      </w:r>
      <w:r w:rsidR="00E933BE">
        <w:t>certain</w:t>
      </w:r>
      <w:r w:rsidR="004C21ED">
        <w:t xml:space="preserve"> </w:t>
      </w:r>
      <w:r w:rsidR="001B607F">
        <w:t>details of the</w:t>
      </w:r>
      <w:r w:rsidR="009410B3">
        <w:t xml:space="preserve"> alternative </w:t>
      </w:r>
      <w:r w:rsidR="001B607F">
        <w:t>methodologies that</w:t>
      </w:r>
      <w:r w:rsidR="00CA25AF">
        <w:t xml:space="preserve"> </w:t>
      </w:r>
      <w:r w:rsidR="00CA25AF" w:rsidRPr="0006015D">
        <w:t>Fletcher</w:t>
      </w:r>
      <w:r w:rsidR="00A2029F">
        <w:t xml:space="preserve"> and</w:t>
      </w:r>
      <w:r w:rsidR="00CA25AF" w:rsidRPr="0006015D">
        <w:t xml:space="preserve"> Stipanowich</w:t>
      </w:r>
      <w:r w:rsidR="00CA25AF">
        <w:t xml:space="preserve"> </w:t>
      </w:r>
      <w:r w:rsidR="00716A8F">
        <w:t>discuss</w:t>
      </w:r>
      <w:r w:rsidR="00DF12FF">
        <w:t>. A</w:t>
      </w:r>
      <w:r w:rsidR="00D404E8">
        <w:t>t this stage in your career,</w:t>
      </w:r>
      <w:r w:rsidR="00DF12FF">
        <w:t xml:space="preserve"> </w:t>
      </w:r>
      <w:r w:rsidR="00391F06">
        <w:t xml:space="preserve">you need not master all the terminology </w:t>
      </w:r>
      <w:r w:rsidR="00651A96">
        <w:t xml:space="preserve">and technical distinctions </w:t>
      </w:r>
      <w:r w:rsidR="00092928">
        <w:t>involved</w:t>
      </w:r>
      <w:r w:rsidR="00651A96">
        <w:t xml:space="preserve">. </w:t>
      </w:r>
      <w:r w:rsidR="007E39F7">
        <w:t xml:space="preserve">Instead, </w:t>
      </w:r>
      <w:r w:rsidR="00F725F6">
        <w:t xml:space="preserve">engage with this material primarily to </w:t>
      </w:r>
      <w:r w:rsidR="00476445">
        <w:t>understand</w:t>
      </w:r>
      <w:r w:rsidR="00F725F6">
        <w:t xml:space="preserve"> </w:t>
      </w:r>
      <w:r w:rsidR="0016450E">
        <w:t xml:space="preserve">how important it is for lawyers dealing with delay </w:t>
      </w:r>
      <w:r w:rsidR="000C22DB">
        <w:t>claims</w:t>
      </w:r>
      <w:r w:rsidR="0016450E">
        <w:t xml:space="preserve"> to </w:t>
      </w:r>
      <w:r w:rsidR="00052EA3">
        <w:t xml:space="preserve">learn </w:t>
      </w:r>
      <w:r w:rsidR="003C2664">
        <w:t xml:space="preserve">to </w:t>
      </w:r>
      <w:r w:rsidR="0031577B">
        <w:t xml:space="preserve">work </w:t>
      </w:r>
      <w:r w:rsidR="000B27D9">
        <w:t xml:space="preserve">effectively </w:t>
      </w:r>
      <w:r w:rsidR="0031577B">
        <w:t xml:space="preserve">with qualified experts to </w:t>
      </w:r>
      <w:r w:rsidR="00DD4553">
        <w:t>present</w:t>
      </w:r>
      <w:r w:rsidR="0031577B">
        <w:t xml:space="preserve"> an analysis </w:t>
      </w:r>
      <w:r w:rsidR="00E53004">
        <w:t xml:space="preserve">appropriate </w:t>
      </w:r>
      <w:r w:rsidR="00DD4553">
        <w:t>for</w:t>
      </w:r>
      <w:r w:rsidR="00E53004">
        <w:t xml:space="preserve"> the </w:t>
      </w:r>
      <w:r w:rsidR="00561244">
        <w:t xml:space="preserve">forum (be it </w:t>
      </w:r>
      <w:r w:rsidR="00792B81">
        <w:t>a bench trial</w:t>
      </w:r>
      <w:r w:rsidR="00561244">
        <w:t>,</w:t>
      </w:r>
      <w:r w:rsidR="00792B81">
        <w:t xml:space="preserve"> a</w:t>
      </w:r>
      <w:r w:rsidR="00561244">
        <w:t xml:space="preserve"> jury</w:t>
      </w:r>
      <w:r w:rsidR="00792B81">
        <w:t xml:space="preserve"> trial</w:t>
      </w:r>
      <w:r w:rsidR="00561244">
        <w:t xml:space="preserve">, or </w:t>
      </w:r>
      <w:r w:rsidR="00792B81">
        <w:t xml:space="preserve">an </w:t>
      </w:r>
      <w:r w:rsidR="00561244">
        <w:t>arbitration)</w:t>
      </w:r>
      <w:r w:rsidR="000B27D9">
        <w:t xml:space="preserve"> and to develop</w:t>
      </w:r>
      <w:r w:rsidR="00561244">
        <w:t xml:space="preserve"> </w:t>
      </w:r>
      <w:r w:rsidR="000F20D6">
        <w:t xml:space="preserve">a plan for discovering and addressing </w:t>
      </w:r>
      <w:r w:rsidR="00A02B90">
        <w:t xml:space="preserve">potential gaps and flaws in </w:t>
      </w:r>
      <w:r w:rsidR="00C65462">
        <w:t xml:space="preserve">the </w:t>
      </w:r>
      <w:r w:rsidR="00492F55">
        <w:t xml:space="preserve">competing expert analyses. </w:t>
      </w:r>
      <w:r w:rsidR="009828CD">
        <w:t xml:space="preserve">You should </w:t>
      </w:r>
      <w:r w:rsidR="00557216">
        <w:t>readily see</w:t>
      </w:r>
      <w:r w:rsidR="006C0B8F">
        <w:t xml:space="preserve"> </w:t>
      </w:r>
      <w:r w:rsidR="00741A7B">
        <w:t>that</w:t>
      </w:r>
      <w:r w:rsidR="00DE41D2" w:rsidRPr="00DE41D2">
        <w:t xml:space="preserve"> </w:t>
      </w:r>
      <w:r w:rsidR="00DE41D2">
        <w:t xml:space="preserve">some methodologies are more valid or persuasive than others, but that they all involve risks of faulty assumptions and presumptions, incomplete or inaccurate data, user error, and even manipulation. </w:t>
      </w:r>
      <w:r w:rsidR="006C0B8F">
        <w:t xml:space="preserve"> </w:t>
      </w:r>
      <w:r w:rsidR="005E57CE">
        <w:t xml:space="preserve">Moreover, this article should help you appreciate that </w:t>
      </w:r>
      <w:r w:rsidR="00AB71C5">
        <w:t>proving the causes and effects of delaying events</w:t>
      </w:r>
      <w:r w:rsidR="00B1087C">
        <w:t xml:space="preserve"> in contested </w:t>
      </w:r>
      <w:r w:rsidR="00367792">
        <w:t>cases</w:t>
      </w:r>
      <w:r w:rsidR="002C7437">
        <w:t xml:space="preserve"> </w:t>
      </w:r>
      <w:r w:rsidR="00B03AF9">
        <w:t>involves</w:t>
      </w:r>
      <w:r w:rsidR="002C7437">
        <w:t xml:space="preserve"> judgment as well as tech</w:t>
      </w:r>
      <w:r w:rsidR="00B03AF9">
        <w:t>nological expertise.</w:t>
      </w:r>
      <w:r w:rsidR="00AB71C5">
        <w:t xml:space="preserve"> </w:t>
      </w:r>
    </w:p>
    <w:p w14:paraId="35BF9676" w14:textId="07C1C9CA" w:rsidR="00167255" w:rsidRPr="009C5C4F" w:rsidRDefault="003F5190" w:rsidP="009C5C4F">
      <w:pPr>
        <w:spacing w:after="160" w:line="259" w:lineRule="auto"/>
        <w:ind w:firstLine="720"/>
        <w:rPr>
          <w:rFonts w:asciiTheme="majorHAnsi" w:hAnsiTheme="majorHAnsi" w:cstheme="majorHAnsi"/>
        </w:rPr>
      </w:pPr>
      <w:r>
        <w:t xml:space="preserve">Many additional resources </w:t>
      </w:r>
      <w:r w:rsidR="00CE6CE0">
        <w:t>explore other aspects of schedul</w:t>
      </w:r>
      <w:r w:rsidR="005B5A4D">
        <w:t>ing practices</w:t>
      </w:r>
      <w:r w:rsidR="006C5AA4">
        <w:t xml:space="preserve"> and delay claim strategies. </w:t>
      </w:r>
      <w:r w:rsidR="00D11193">
        <w:t xml:space="preserve">See, e.g., </w:t>
      </w:r>
      <w:r w:rsidR="00656CE3" w:rsidRPr="006D4808">
        <w:rPr>
          <w:rFonts w:cstheme="minorHAnsi"/>
        </w:rPr>
        <w:t xml:space="preserve">Ralph Artigliere, </w:t>
      </w:r>
      <w:r w:rsidR="00656CE3" w:rsidRPr="006D4808">
        <w:rPr>
          <w:rFonts w:cstheme="minorHAnsi"/>
          <w:i/>
          <w:iCs/>
        </w:rPr>
        <w:t>Admissibility and Use of Electronic Information in Construction Cases</w:t>
      </w:r>
      <w:r w:rsidR="00656CE3" w:rsidRPr="006D4808">
        <w:rPr>
          <w:rFonts w:cstheme="minorHAnsi"/>
        </w:rPr>
        <w:t>, 17 Am</w:t>
      </w:r>
      <w:r w:rsidR="00786E66">
        <w:rPr>
          <w:rFonts w:cstheme="minorHAnsi"/>
        </w:rPr>
        <w:t>.</w:t>
      </w:r>
      <w:r w:rsidR="00656CE3" w:rsidRPr="006D4808">
        <w:rPr>
          <w:rFonts w:cstheme="minorHAnsi"/>
        </w:rPr>
        <w:t xml:space="preserve"> Coll. Constr. Law</w:t>
      </w:r>
      <w:r w:rsidR="00873B58">
        <w:rPr>
          <w:rFonts w:cstheme="minorHAnsi"/>
        </w:rPr>
        <w:t>s</w:t>
      </w:r>
      <w:r w:rsidR="00656CE3" w:rsidRPr="006D4808">
        <w:rPr>
          <w:rFonts w:cstheme="minorHAnsi"/>
        </w:rPr>
        <w:t>. J. 2 (</w:t>
      </w:r>
      <w:r w:rsidR="00CD415B">
        <w:rPr>
          <w:rFonts w:cstheme="minorHAnsi"/>
        </w:rPr>
        <w:t xml:space="preserve">Summer </w:t>
      </w:r>
      <w:r w:rsidR="00656CE3" w:rsidRPr="006D4808">
        <w:rPr>
          <w:rFonts w:cstheme="minorHAnsi"/>
        </w:rPr>
        <w:t xml:space="preserve">2023) </w:t>
      </w:r>
      <w:r w:rsidR="00864286">
        <w:t>(</w:t>
      </w:r>
      <w:r w:rsidR="00A04259">
        <w:t xml:space="preserve">exploring, among other things, </w:t>
      </w:r>
      <w:r w:rsidR="000C1E27">
        <w:t xml:space="preserve">the </w:t>
      </w:r>
      <w:r w:rsidR="004C5394">
        <w:t>use of</w:t>
      </w:r>
      <w:r w:rsidR="006E0B59">
        <w:t xml:space="preserve"> </w:t>
      </w:r>
      <w:r w:rsidR="000C1E27">
        <w:t xml:space="preserve">artificial intelligence and </w:t>
      </w:r>
      <w:r w:rsidR="0028673D">
        <w:t>computer-generated</w:t>
      </w:r>
      <w:r w:rsidR="004C5394">
        <w:t xml:space="preserve"> </w:t>
      </w:r>
      <w:r w:rsidR="00537DD5">
        <w:t>animation</w:t>
      </w:r>
      <w:r w:rsidR="00AD6B7A">
        <w:t>s</w:t>
      </w:r>
      <w:r w:rsidR="009279B2">
        <w:t>);</w:t>
      </w:r>
      <w:r w:rsidR="00A54B2B">
        <w:t xml:space="preserve"> Daniel G. Quackenbush &amp; Kenneth A. Slavens, </w:t>
      </w:r>
      <w:r w:rsidR="00A54B2B" w:rsidRPr="006D4808">
        <w:rPr>
          <w:i/>
          <w:iCs/>
        </w:rPr>
        <w:t>Concurrent Delays and Pacing in Construction Contractor Delay Claims</w:t>
      </w:r>
      <w:r w:rsidR="00A54B2B">
        <w:t xml:space="preserve">, 41 </w:t>
      </w:r>
      <w:r w:rsidR="00A54B2B" w:rsidRPr="00A54B2B">
        <w:t>Constr. Law</w:t>
      </w:r>
      <w:r w:rsidR="00A54B2B">
        <w:t>.</w:t>
      </w:r>
      <w:r w:rsidR="0017316B">
        <w:t xml:space="preserve"> 15</w:t>
      </w:r>
      <w:r w:rsidR="00A54B2B">
        <w:t xml:space="preserve"> </w:t>
      </w:r>
      <w:r w:rsidR="0017316B">
        <w:t>(</w:t>
      </w:r>
      <w:r w:rsidR="00A54B2B">
        <w:t>Summer 2021</w:t>
      </w:r>
      <w:r w:rsidR="0017316B">
        <w:t>)</w:t>
      </w:r>
      <w:r w:rsidR="009279B2">
        <w:t xml:space="preserve"> </w:t>
      </w:r>
      <w:r w:rsidR="002A2A76">
        <w:t>(</w:t>
      </w:r>
      <w:r w:rsidR="00633D5D">
        <w:t xml:space="preserve">discussing special </w:t>
      </w:r>
      <w:r w:rsidR="00E47E75">
        <w:t>complications</w:t>
      </w:r>
      <w:r w:rsidR="00802BCC">
        <w:t xml:space="preserve"> that</w:t>
      </w:r>
      <w:r w:rsidR="00633D5D">
        <w:t xml:space="preserve"> </w:t>
      </w:r>
      <w:r w:rsidR="0021445F">
        <w:t>concurrent de</w:t>
      </w:r>
      <w:r w:rsidR="00ED4C66">
        <w:t>lays</w:t>
      </w:r>
      <w:r w:rsidR="00802BCC">
        <w:t xml:space="preserve"> may present</w:t>
      </w:r>
      <w:r w:rsidR="00FF6752">
        <w:t xml:space="preserve">, including </w:t>
      </w:r>
      <w:r w:rsidR="002C3A17">
        <w:t>a practice</w:t>
      </w:r>
      <w:r w:rsidR="00FF6752">
        <w:t xml:space="preserve"> </w:t>
      </w:r>
      <w:r w:rsidR="005B156E">
        <w:t xml:space="preserve">in which a </w:t>
      </w:r>
      <w:r w:rsidR="00BA6495">
        <w:t>project participant</w:t>
      </w:r>
      <w:r w:rsidR="00A9365C">
        <w:t xml:space="preserve"> argues that</w:t>
      </w:r>
      <w:r w:rsidR="008E1D78">
        <w:t xml:space="preserve"> it</w:t>
      </w:r>
      <w:r w:rsidR="00EB49D3">
        <w:t>s</w:t>
      </w:r>
      <w:r w:rsidR="008E1D78">
        <w:t xml:space="preserve"> </w:t>
      </w:r>
      <w:r w:rsidR="00D62FDC">
        <w:t>delay</w:t>
      </w:r>
      <w:r w:rsidR="00134EA2">
        <w:t xml:space="preserve"> to </w:t>
      </w:r>
      <w:r w:rsidR="00D62FDC">
        <w:t>an activity originally</w:t>
      </w:r>
      <w:r w:rsidR="00134EA2">
        <w:t xml:space="preserve"> on the critical path is not a concurrent delay but a logical </w:t>
      </w:r>
      <w:r w:rsidR="00C90221">
        <w:t>“pacing” respo</w:t>
      </w:r>
      <w:r w:rsidR="000E37CF">
        <w:t>nse to another party’s delay in a different activity also on the critical path)</w:t>
      </w:r>
      <w:r w:rsidR="00527469">
        <w:t xml:space="preserve">; </w:t>
      </w:r>
      <w:r w:rsidR="00527469" w:rsidRPr="006D4808">
        <w:rPr>
          <w:rFonts w:asciiTheme="majorHAnsi" w:hAnsiTheme="majorHAnsi" w:cstheme="majorHAnsi"/>
        </w:rPr>
        <w:t xml:space="preserve">Buck Beltzer, </w:t>
      </w:r>
      <w:r w:rsidR="00527469">
        <w:rPr>
          <w:rFonts w:asciiTheme="majorHAnsi" w:hAnsiTheme="majorHAnsi" w:cstheme="majorHAnsi"/>
        </w:rPr>
        <w:t>J. Andrew Howard, Richard Wittbrodt &amp; Ashley M. Tullius</w:t>
      </w:r>
      <w:r w:rsidR="00527469" w:rsidRPr="006D4808">
        <w:rPr>
          <w:rFonts w:asciiTheme="majorHAnsi" w:hAnsiTheme="majorHAnsi" w:cstheme="majorHAnsi"/>
        </w:rPr>
        <w:t xml:space="preserve">, </w:t>
      </w:r>
      <w:r w:rsidR="00527469" w:rsidRPr="00280EBF">
        <w:rPr>
          <w:rFonts w:asciiTheme="majorHAnsi" w:hAnsiTheme="majorHAnsi" w:cstheme="majorHAnsi"/>
          <w:i/>
          <w:iCs/>
        </w:rPr>
        <w:t>“It’s Getting Better All the Time”: Best Practices in Presenting Delay Claims Bench Trial/Arbitration/Jury Trial</w:t>
      </w:r>
      <w:r w:rsidR="00527469" w:rsidRPr="006D4808">
        <w:rPr>
          <w:rFonts w:asciiTheme="majorHAnsi" w:hAnsiTheme="majorHAnsi" w:cstheme="majorHAnsi"/>
        </w:rPr>
        <w:t xml:space="preserve">, 37 </w:t>
      </w:r>
      <w:r w:rsidR="00527469" w:rsidRPr="00280EBF">
        <w:rPr>
          <w:rFonts w:asciiTheme="majorHAnsi" w:hAnsiTheme="majorHAnsi" w:cstheme="majorHAnsi"/>
        </w:rPr>
        <w:t>Constr</w:t>
      </w:r>
      <w:r w:rsidR="0017316B">
        <w:rPr>
          <w:rFonts w:asciiTheme="majorHAnsi" w:hAnsiTheme="majorHAnsi" w:cstheme="majorHAnsi"/>
        </w:rPr>
        <w:t>.</w:t>
      </w:r>
      <w:r w:rsidR="00527469" w:rsidRPr="00280EBF">
        <w:rPr>
          <w:rFonts w:asciiTheme="majorHAnsi" w:hAnsiTheme="majorHAnsi" w:cstheme="majorHAnsi"/>
        </w:rPr>
        <w:t xml:space="preserve"> Law</w:t>
      </w:r>
      <w:r w:rsidR="0017316B">
        <w:rPr>
          <w:rFonts w:asciiTheme="majorHAnsi" w:hAnsiTheme="majorHAnsi" w:cstheme="majorHAnsi"/>
        </w:rPr>
        <w:t>.</w:t>
      </w:r>
      <w:r w:rsidR="00527469" w:rsidRPr="006D4808">
        <w:rPr>
          <w:rFonts w:asciiTheme="majorHAnsi" w:hAnsiTheme="majorHAnsi" w:cstheme="majorHAnsi"/>
        </w:rPr>
        <w:t xml:space="preserve"> 6 (Fall 2017); Shelly L. Ewald &amp; Julia M. Fox, </w:t>
      </w:r>
      <w:r w:rsidR="00527469" w:rsidRPr="00C1307C">
        <w:rPr>
          <w:rFonts w:asciiTheme="majorHAnsi" w:hAnsiTheme="majorHAnsi" w:cstheme="majorHAnsi"/>
          <w:i/>
          <w:iCs/>
        </w:rPr>
        <w:t>Introduction of Construction Scheduling Expert Testimony: An Overview of the Current Standards in Federal and State Courts and Administrative Boards</w:t>
      </w:r>
      <w:r w:rsidR="00527469" w:rsidRPr="006D4808">
        <w:rPr>
          <w:rFonts w:asciiTheme="majorHAnsi" w:hAnsiTheme="majorHAnsi" w:cstheme="majorHAnsi"/>
        </w:rPr>
        <w:t xml:space="preserve">, 37 </w:t>
      </w:r>
      <w:r w:rsidR="00527469" w:rsidRPr="00C1307C">
        <w:rPr>
          <w:rFonts w:asciiTheme="majorHAnsi" w:hAnsiTheme="majorHAnsi" w:cstheme="majorHAnsi"/>
        </w:rPr>
        <w:t>Constr</w:t>
      </w:r>
      <w:r w:rsidR="001E01EA">
        <w:rPr>
          <w:rFonts w:asciiTheme="majorHAnsi" w:hAnsiTheme="majorHAnsi" w:cstheme="majorHAnsi"/>
        </w:rPr>
        <w:t>.</w:t>
      </w:r>
      <w:r w:rsidR="00527469" w:rsidRPr="00C1307C">
        <w:rPr>
          <w:rFonts w:asciiTheme="majorHAnsi" w:hAnsiTheme="majorHAnsi" w:cstheme="majorHAnsi"/>
        </w:rPr>
        <w:t xml:space="preserve"> Law</w:t>
      </w:r>
      <w:r w:rsidR="001E01EA">
        <w:rPr>
          <w:rFonts w:asciiTheme="majorHAnsi" w:hAnsiTheme="majorHAnsi" w:cstheme="majorHAnsi"/>
        </w:rPr>
        <w:t>.</w:t>
      </w:r>
      <w:r w:rsidR="00527469" w:rsidRPr="006D4808">
        <w:rPr>
          <w:rFonts w:asciiTheme="majorHAnsi" w:hAnsiTheme="majorHAnsi" w:cstheme="majorHAnsi"/>
        </w:rPr>
        <w:t xml:space="preserve"> 26 (Fall 2017)</w:t>
      </w:r>
      <w:r w:rsidR="00527469">
        <w:rPr>
          <w:rFonts w:asciiTheme="majorHAnsi" w:hAnsiTheme="majorHAnsi" w:cstheme="majorHAnsi"/>
        </w:rPr>
        <w:t xml:space="preserve">; </w:t>
      </w:r>
      <w:r w:rsidR="00527469" w:rsidRPr="006D4808">
        <w:rPr>
          <w:rFonts w:asciiTheme="majorHAnsi" w:hAnsiTheme="majorHAnsi" w:cstheme="majorHAnsi"/>
        </w:rPr>
        <w:t xml:space="preserve">Fredric L. Plotnick, </w:t>
      </w:r>
      <w:r w:rsidR="00527469" w:rsidRPr="00CD3C78">
        <w:rPr>
          <w:rFonts w:asciiTheme="majorHAnsi" w:hAnsiTheme="majorHAnsi" w:cstheme="majorHAnsi"/>
          <w:i/>
          <w:iCs/>
        </w:rPr>
        <w:t>Rewriting the CPM Scheduling Specification to Better Support the Project Owner</w:t>
      </w:r>
      <w:r w:rsidR="00527469" w:rsidRPr="006D4808">
        <w:rPr>
          <w:rFonts w:asciiTheme="majorHAnsi" w:hAnsiTheme="majorHAnsi" w:cstheme="majorHAnsi"/>
        </w:rPr>
        <w:t xml:space="preserve">, 35 </w:t>
      </w:r>
      <w:r w:rsidR="00527469" w:rsidRPr="00CD3C78">
        <w:rPr>
          <w:rFonts w:asciiTheme="majorHAnsi" w:hAnsiTheme="majorHAnsi" w:cstheme="majorHAnsi"/>
        </w:rPr>
        <w:t>Constr</w:t>
      </w:r>
      <w:r w:rsidR="001E01EA">
        <w:rPr>
          <w:rFonts w:asciiTheme="majorHAnsi" w:hAnsiTheme="majorHAnsi" w:cstheme="majorHAnsi"/>
        </w:rPr>
        <w:t>.</w:t>
      </w:r>
      <w:r w:rsidR="00527469" w:rsidRPr="00CD3C78">
        <w:rPr>
          <w:rFonts w:asciiTheme="majorHAnsi" w:hAnsiTheme="majorHAnsi" w:cstheme="majorHAnsi"/>
        </w:rPr>
        <w:t xml:space="preserve"> Law</w:t>
      </w:r>
      <w:r w:rsidR="001E01EA">
        <w:rPr>
          <w:rFonts w:asciiTheme="majorHAnsi" w:hAnsiTheme="majorHAnsi" w:cstheme="majorHAnsi"/>
        </w:rPr>
        <w:t>.</w:t>
      </w:r>
      <w:r w:rsidR="00527469" w:rsidRPr="006D4808">
        <w:rPr>
          <w:rFonts w:asciiTheme="majorHAnsi" w:hAnsiTheme="majorHAnsi" w:cstheme="majorHAnsi"/>
        </w:rPr>
        <w:t xml:space="preserve"> 31 (Summer 2015)</w:t>
      </w:r>
      <w:r w:rsidR="001E01EA">
        <w:rPr>
          <w:rFonts w:asciiTheme="majorHAnsi" w:hAnsiTheme="majorHAnsi" w:cstheme="majorHAnsi"/>
        </w:rPr>
        <w:t>.</w:t>
      </w:r>
    </w:p>
    <w:p w14:paraId="2DE38BA9" w14:textId="77777777" w:rsidR="00A13547" w:rsidRDefault="00A13547" w:rsidP="00A13547">
      <w:r>
        <w:rPr>
          <w:u w:val="single"/>
        </w:rPr>
        <w:t>For Review and Discussion</w:t>
      </w:r>
    </w:p>
    <w:p w14:paraId="0D71A8B7" w14:textId="77777777" w:rsidR="00A13547" w:rsidRDefault="00A13547" w:rsidP="00A13547"/>
    <w:p w14:paraId="42B4D1DB" w14:textId="704AD52D" w:rsidR="00A13547" w:rsidRDefault="0087786E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From</w:t>
      </w:r>
      <w:r w:rsidR="004F24D4">
        <w:t xml:space="preserve"> the</w:t>
      </w:r>
      <w:r>
        <w:t xml:space="preserve"> perspectives of both an owner and a general contractor</w:t>
      </w:r>
      <w:r w:rsidR="00D300C3">
        <w:t xml:space="preserve"> or design-builder</w:t>
      </w:r>
      <w:r>
        <w:t xml:space="preserve">, </w:t>
      </w:r>
      <w:r w:rsidR="004F24D4">
        <w:t>identify</w:t>
      </w:r>
      <w:r w:rsidR="00B36E7D">
        <w:t xml:space="preserve"> </w:t>
      </w:r>
      <w:r>
        <w:t>two</w:t>
      </w:r>
      <w:r w:rsidR="00C11C26">
        <w:t xml:space="preserve"> common contractual term</w:t>
      </w:r>
      <w:r w:rsidR="00DB5B35">
        <w:t>s</w:t>
      </w:r>
      <w:r w:rsidR="00C11C26">
        <w:t xml:space="preserve"> </w:t>
      </w:r>
      <w:r w:rsidR="004F24D4">
        <w:t>concerning</w:t>
      </w:r>
      <w:r w:rsidR="00B36E7D">
        <w:t xml:space="preserve"> scheduling and delays </w:t>
      </w:r>
      <w:r w:rsidR="00FB76FB">
        <w:t xml:space="preserve">that you </w:t>
      </w:r>
      <w:r w:rsidR="00FB76FB">
        <w:lastRenderedPageBreak/>
        <w:t xml:space="preserve">believe </w:t>
      </w:r>
      <w:r w:rsidR="004F24D4">
        <w:t>to be especially important</w:t>
      </w:r>
      <w:r w:rsidR="001051B6">
        <w:t xml:space="preserve"> to both parties</w:t>
      </w:r>
      <w:r w:rsidR="004F24D4">
        <w:t xml:space="preserve"> and explain </w:t>
      </w:r>
      <w:r w:rsidR="00C035F9">
        <w:t>why</w:t>
      </w:r>
      <w:r w:rsidR="001051B6">
        <w:t xml:space="preserve"> you believe</w:t>
      </w:r>
      <w:r w:rsidR="004F24D4">
        <w:t xml:space="preserve"> those provisions are importan</w:t>
      </w:r>
      <w:r w:rsidR="001051B6">
        <w:t>t</w:t>
      </w:r>
      <w:r w:rsidR="004F24D4">
        <w:t>.</w:t>
      </w:r>
    </w:p>
    <w:p w14:paraId="207F14E8" w14:textId="72D206AF" w:rsidR="00A13547" w:rsidRDefault="00460598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In the context of a delay claim, e</w:t>
      </w:r>
      <w:r w:rsidR="00D94126">
        <w:t>xplain</w:t>
      </w:r>
      <w:r w:rsidR="00CD76FA">
        <w:t xml:space="preserve"> how</w:t>
      </w:r>
      <w:r w:rsidR="000E51BC">
        <w:t xml:space="preserve"> and why</w:t>
      </w:r>
      <w:r w:rsidR="008F1DA6">
        <w:t xml:space="preserve"> the </w:t>
      </w:r>
      <w:r w:rsidR="008F1DA6">
        <w:rPr>
          <w:i/>
          <w:iCs/>
        </w:rPr>
        <w:t>Daubert</w:t>
      </w:r>
      <w:r w:rsidR="008F1DA6">
        <w:t xml:space="preserve"> test</w:t>
      </w:r>
      <w:r w:rsidR="000B2112">
        <w:t xml:space="preserve"> </w:t>
      </w:r>
      <w:r w:rsidR="00CD76FA">
        <w:t>assigns a gatekeeping function to the trial court</w:t>
      </w:r>
      <w:r w:rsidR="00BD3DA9">
        <w:t>.</w:t>
      </w:r>
    </w:p>
    <w:p w14:paraId="3E409911" w14:textId="59A475CD" w:rsidR="00A13547" w:rsidRDefault="003A0680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Compare and contrast the advantages and disadvantages of </w:t>
      </w:r>
      <w:r w:rsidR="00BB31CD">
        <w:t xml:space="preserve">two of </w:t>
      </w:r>
      <w:r w:rsidR="00EC1217">
        <w:t>the</w:t>
      </w:r>
      <w:r w:rsidR="000366A7">
        <w:t xml:space="preserve"> commonly used forensic schedul</w:t>
      </w:r>
      <w:r w:rsidR="00D9003F">
        <w:t>ing</w:t>
      </w:r>
      <w:r w:rsidR="000366A7">
        <w:t xml:space="preserve"> methods </w:t>
      </w:r>
      <w:r w:rsidR="00BB31CD">
        <w:t xml:space="preserve">that </w:t>
      </w:r>
      <w:r w:rsidR="00BB31CD" w:rsidRPr="0006015D">
        <w:t>Fletcher</w:t>
      </w:r>
      <w:r w:rsidR="00BB31CD">
        <w:t xml:space="preserve"> and</w:t>
      </w:r>
      <w:r w:rsidR="00BB31CD" w:rsidRPr="0006015D">
        <w:t xml:space="preserve"> Stipanowich</w:t>
      </w:r>
      <w:r w:rsidR="00BB31CD">
        <w:t xml:space="preserve"> discuss.</w:t>
      </w:r>
    </w:p>
    <w:p w14:paraId="4B9F9A48" w14:textId="36411262" w:rsidR="00A669D5" w:rsidRDefault="00A669D5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Assume that a project</w:t>
      </w:r>
      <w:r w:rsidR="00AC0044">
        <w:t xml:space="preserve"> incurs a </w:t>
      </w:r>
      <w:r w:rsidR="00B80F9C">
        <w:t>6</w:t>
      </w:r>
      <w:r w:rsidR="00AC0044">
        <w:t>0-day delay in</w:t>
      </w:r>
      <w:r>
        <w:t xml:space="preserve"> substantial completion</w:t>
      </w:r>
      <w:r w:rsidR="00AC0044">
        <w:t xml:space="preserve"> and that the </w:t>
      </w:r>
      <w:r w:rsidR="002C76DB">
        <w:t>owner and the</w:t>
      </w:r>
      <w:r w:rsidR="00950875">
        <w:t xml:space="preserve"> general</w:t>
      </w:r>
      <w:r w:rsidR="002C76DB">
        <w:t xml:space="preserve"> contractor disagree about </w:t>
      </w:r>
      <w:r w:rsidR="001D4095">
        <w:t>responsibility for</w:t>
      </w:r>
      <w:r w:rsidR="00A920E4">
        <w:t xml:space="preserve"> the delay. The </w:t>
      </w:r>
      <w:r w:rsidR="00AC0044">
        <w:t>contract</w:t>
      </w:r>
      <w:r w:rsidR="00A920E4">
        <w:t xml:space="preserve">or </w:t>
      </w:r>
      <w:r w:rsidR="00052044">
        <w:t>places</w:t>
      </w:r>
      <w:r w:rsidR="00AC0044">
        <w:t xml:space="preserve"> </w:t>
      </w:r>
      <w:r w:rsidR="008700EC">
        <w:t xml:space="preserve">most of the </w:t>
      </w:r>
      <w:r w:rsidR="00052044">
        <w:t>blame</w:t>
      </w:r>
      <w:r w:rsidR="008700EC">
        <w:t xml:space="preserve"> on ambiguities in the plans and specifications the</w:t>
      </w:r>
      <w:r w:rsidR="00A920E4">
        <w:t xml:space="preserve"> owner furnished</w:t>
      </w:r>
      <w:r w:rsidR="001D7C40">
        <w:t xml:space="preserve"> that required the contractor to submit multiple requests for information (RFIs)</w:t>
      </w:r>
      <w:r w:rsidR="008700EC">
        <w:t xml:space="preserve"> </w:t>
      </w:r>
      <w:r w:rsidR="001D7C40">
        <w:t xml:space="preserve">that the </w:t>
      </w:r>
      <w:r w:rsidR="00F51A5E">
        <w:t xml:space="preserve">contractor believes the </w:t>
      </w:r>
      <w:r w:rsidR="001D7C40">
        <w:t xml:space="preserve">owner’s architect did not </w:t>
      </w:r>
      <w:r w:rsidR="006226BA">
        <w:t xml:space="preserve">answer </w:t>
      </w:r>
      <w:r w:rsidR="00C12465">
        <w:t xml:space="preserve">adequately and </w:t>
      </w:r>
      <w:r w:rsidR="006226BA">
        <w:t xml:space="preserve">in a timely manner. The owner, however, </w:t>
      </w:r>
      <w:r w:rsidR="009D7736">
        <w:t xml:space="preserve">claims that most of the delay </w:t>
      </w:r>
      <w:r w:rsidR="00C33C23">
        <w:t>resulted from</w:t>
      </w:r>
      <w:r w:rsidR="009D7736">
        <w:t xml:space="preserve"> the contractor’s failure to have </w:t>
      </w:r>
      <w:r w:rsidR="008C4008">
        <w:t>a sufficient workforce on site</w:t>
      </w:r>
      <w:r>
        <w:t xml:space="preserve"> </w:t>
      </w:r>
      <w:r w:rsidR="00857EB3">
        <w:t xml:space="preserve">at various times throughout the construction process. </w:t>
      </w:r>
      <w:r w:rsidR="001F62A6">
        <w:t>How might</w:t>
      </w:r>
      <w:r w:rsidR="00BE3909">
        <w:t xml:space="preserve"> the lawyers for each party work with</w:t>
      </w:r>
      <w:r w:rsidR="001F62A6">
        <w:t xml:space="preserve"> qualified scheduling experts</w:t>
      </w:r>
      <w:r w:rsidR="0050288C">
        <w:t xml:space="preserve"> to</w:t>
      </w:r>
      <w:r w:rsidR="001F62A6">
        <w:t xml:space="preserve"> assess the causes and impacts of the </w:t>
      </w:r>
      <w:r w:rsidR="00C277FC">
        <w:t>delay</w:t>
      </w:r>
      <w:r w:rsidR="00D71649">
        <w:t>?</w:t>
      </w:r>
    </w:p>
    <w:p w14:paraId="09A3A404" w14:textId="77777777" w:rsidR="00A13547" w:rsidRDefault="00A13547" w:rsidP="00A13547">
      <w:pPr>
        <w:pStyle w:val="ListParagraph"/>
        <w:spacing w:after="160" w:line="259" w:lineRule="auto"/>
      </w:pPr>
    </w:p>
    <w:p w14:paraId="7131D467" w14:textId="77777777" w:rsidR="007575B7" w:rsidRDefault="007575B7" w:rsidP="007575B7">
      <w:pPr>
        <w:pStyle w:val="ListParagraph"/>
        <w:spacing w:after="160" w:line="259" w:lineRule="auto"/>
        <w:ind w:left="0"/>
      </w:pPr>
    </w:p>
    <w:sectPr w:rsidR="007575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2E6A" w14:textId="77777777" w:rsidR="00790065" w:rsidRDefault="00790065" w:rsidP="007C726E">
      <w:r>
        <w:separator/>
      </w:r>
    </w:p>
  </w:endnote>
  <w:endnote w:type="continuationSeparator" w:id="0">
    <w:p w14:paraId="0495CF38" w14:textId="77777777" w:rsidR="00790065" w:rsidRDefault="00790065" w:rsidP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24" w14:textId="5CFA59B3" w:rsidR="007C726E" w:rsidRDefault="007C726E">
    <w:pPr>
      <w:pStyle w:val="Footer"/>
    </w:pPr>
    <w:r>
      <w:t>© Carl J. Circo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8748" w14:textId="77777777" w:rsidR="00790065" w:rsidRDefault="00790065" w:rsidP="007C726E">
      <w:r>
        <w:separator/>
      </w:r>
    </w:p>
  </w:footnote>
  <w:footnote w:type="continuationSeparator" w:id="0">
    <w:p w14:paraId="18E8EF78" w14:textId="77777777" w:rsidR="00790065" w:rsidRDefault="00790065" w:rsidP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70F" w14:textId="21B32328" w:rsidR="007C726E" w:rsidRDefault="007C726E">
    <w:pPr>
      <w:pStyle w:val="Header"/>
    </w:pPr>
    <w:r>
      <w:t xml:space="preserve">Work-in-progress, </w:t>
    </w:r>
    <w:r w:rsidR="00312B84">
      <w:t>November</w:t>
    </w:r>
    <w:r>
      <w:t xml:space="preserve"> 2024</w:t>
    </w:r>
  </w:p>
  <w:p w14:paraId="4032C77E" w14:textId="77777777" w:rsidR="007C726E" w:rsidRDefault="007C7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59F7"/>
    <w:multiLevelType w:val="hybridMultilevel"/>
    <w:tmpl w:val="534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6AC"/>
    <w:multiLevelType w:val="hybridMultilevel"/>
    <w:tmpl w:val="11DC82A4"/>
    <w:lvl w:ilvl="0" w:tplc="81F2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A8E77C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35"/>
    <w:multiLevelType w:val="hybridMultilevel"/>
    <w:tmpl w:val="B33C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9427C"/>
    <w:multiLevelType w:val="hybridMultilevel"/>
    <w:tmpl w:val="B9D4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3F9B"/>
    <w:multiLevelType w:val="hybridMultilevel"/>
    <w:tmpl w:val="28A6DFFC"/>
    <w:lvl w:ilvl="0" w:tplc="32A2BB6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C3335"/>
    <w:multiLevelType w:val="hybridMultilevel"/>
    <w:tmpl w:val="5896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2776">
    <w:abstractNumId w:val="4"/>
  </w:num>
  <w:num w:numId="2" w16cid:durableId="1768116626">
    <w:abstractNumId w:val="0"/>
  </w:num>
  <w:num w:numId="3" w16cid:durableId="735053428">
    <w:abstractNumId w:val="2"/>
  </w:num>
  <w:num w:numId="4" w16cid:durableId="556356856">
    <w:abstractNumId w:val="5"/>
  </w:num>
  <w:num w:numId="5" w16cid:durableId="1735273822">
    <w:abstractNumId w:val="1"/>
  </w:num>
  <w:num w:numId="6" w16cid:durableId="207298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002CD4"/>
    <w:rsid w:val="000057B9"/>
    <w:rsid w:val="00010152"/>
    <w:rsid w:val="00013DA9"/>
    <w:rsid w:val="0001434E"/>
    <w:rsid w:val="00015FCE"/>
    <w:rsid w:val="00016CEE"/>
    <w:rsid w:val="000209A3"/>
    <w:rsid w:val="00020C75"/>
    <w:rsid w:val="000218E6"/>
    <w:rsid w:val="000228E3"/>
    <w:rsid w:val="00025EF0"/>
    <w:rsid w:val="000275AE"/>
    <w:rsid w:val="000311ED"/>
    <w:rsid w:val="00031A63"/>
    <w:rsid w:val="00031DEE"/>
    <w:rsid w:val="000335DA"/>
    <w:rsid w:val="000366A7"/>
    <w:rsid w:val="00037BE1"/>
    <w:rsid w:val="00040AFD"/>
    <w:rsid w:val="00041522"/>
    <w:rsid w:val="0004208A"/>
    <w:rsid w:val="000438F9"/>
    <w:rsid w:val="00043B08"/>
    <w:rsid w:val="000444BE"/>
    <w:rsid w:val="000455CB"/>
    <w:rsid w:val="000510B3"/>
    <w:rsid w:val="00051241"/>
    <w:rsid w:val="00052044"/>
    <w:rsid w:val="00052EA3"/>
    <w:rsid w:val="0005305E"/>
    <w:rsid w:val="00053406"/>
    <w:rsid w:val="00056231"/>
    <w:rsid w:val="0006039D"/>
    <w:rsid w:val="00063DFB"/>
    <w:rsid w:val="000666FB"/>
    <w:rsid w:val="00067723"/>
    <w:rsid w:val="000709AD"/>
    <w:rsid w:val="00073861"/>
    <w:rsid w:val="000739B7"/>
    <w:rsid w:val="00074BBB"/>
    <w:rsid w:val="0007767F"/>
    <w:rsid w:val="00077A15"/>
    <w:rsid w:val="00080649"/>
    <w:rsid w:val="000807D3"/>
    <w:rsid w:val="00080C3A"/>
    <w:rsid w:val="00081149"/>
    <w:rsid w:val="0008185C"/>
    <w:rsid w:val="00081DED"/>
    <w:rsid w:val="000821B1"/>
    <w:rsid w:val="000829F9"/>
    <w:rsid w:val="0008399D"/>
    <w:rsid w:val="0008402C"/>
    <w:rsid w:val="000864BC"/>
    <w:rsid w:val="00090157"/>
    <w:rsid w:val="00090836"/>
    <w:rsid w:val="00090A47"/>
    <w:rsid w:val="00091F5A"/>
    <w:rsid w:val="00092928"/>
    <w:rsid w:val="000939B9"/>
    <w:rsid w:val="00093A04"/>
    <w:rsid w:val="000A28AF"/>
    <w:rsid w:val="000A3712"/>
    <w:rsid w:val="000A466C"/>
    <w:rsid w:val="000B2112"/>
    <w:rsid w:val="000B27D9"/>
    <w:rsid w:val="000C00A1"/>
    <w:rsid w:val="000C1E27"/>
    <w:rsid w:val="000C22DB"/>
    <w:rsid w:val="000C4631"/>
    <w:rsid w:val="000C4BF2"/>
    <w:rsid w:val="000C691B"/>
    <w:rsid w:val="000C6F9D"/>
    <w:rsid w:val="000C7B67"/>
    <w:rsid w:val="000D07E9"/>
    <w:rsid w:val="000D10B1"/>
    <w:rsid w:val="000D3E55"/>
    <w:rsid w:val="000D556C"/>
    <w:rsid w:val="000E1018"/>
    <w:rsid w:val="000E24A2"/>
    <w:rsid w:val="000E250B"/>
    <w:rsid w:val="000E2862"/>
    <w:rsid w:val="000E37CF"/>
    <w:rsid w:val="000E387D"/>
    <w:rsid w:val="000E50FF"/>
    <w:rsid w:val="000E51BC"/>
    <w:rsid w:val="000E548A"/>
    <w:rsid w:val="000F0508"/>
    <w:rsid w:val="000F07BB"/>
    <w:rsid w:val="000F20D6"/>
    <w:rsid w:val="000F3A82"/>
    <w:rsid w:val="000F4ED3"/>
    <w:rsid w:val="000F6C39"/>
    <w:rsid w:val="001004CE"/>
    <w:rsid w:val="001013D9"/>
    <w:rsid w:val="001028D7"/>
    <w:rsid w:val="001036F5"/>
    <w:rsid w:val="0010458F"/>
    <w:rsid w:val="001051B6"/>
    <w:rsid w:val="00105ED1"/>
    <w:rsid w:val="00106B73"/>
    <w:rsid w:val="00106C9D"/>
    <w:rsid w:val="0011428F"/>
    <w:rsid w:val="00114F4E"/>
    <w:rsid w:val="00115FCC"/>
    <w:rsid w:val="001201EB"/>
    <w:rsid w:val="00120FA5"/>
    <w:rsid w:val="00121EB2"/>
    <w:rsid w:val="00122481"/>
    <w:rsid w:val="001259B5"/>
    <w:rsid w:val="00126092"/>
    <w:rsid w:val="00127AA2"/>
    <w:rsid w:val="00127E16"/>
    <w:rsid w:val="00130879"/>
    <w:rsid w:val="00130999"/>
    <w:rsid w:val="001317A2"/>
    <w:rsid w:val="001320BB"/>
    <w:rsid w:val="001325B7"/>
    <w:rsid w:val="001329E6"/>
    <w:rsid w:val="00133096"/>
    <w:rsid w:val="00134C5E"/>
    <w:rsid w:val="00134EA2"/>
    <w:rsid w:val="0015267D"/>
    <w:rsid w:val="00152945"/>
    <w:rsid w:val="00152A32"/>
    <w:rsid w:val="00154280"/>
    <w:rsid w:val="001555CB"/>
    <w:rsid w:val="00155734"/>
    <w:rsid w:val="00160618"/>
    <w:rsid w:val="00160EE0"/>
    <w:rsid w:val="00161558"/>
    <w:rsid w:val="00162061"/>
    <w:rsid w:val="001634CE"/>
    <w:rsid w:val="0016361A"/>
    <w:rsid w:val="0016450E"/>
    <w:rsid w:val="00165346"/>
    <w:rsid w:val="00166E1C"/>
    <w:rsid w:val="00166F70"/>
    <w:rsid w:val="00167255"/>
    <w:rsid w:val="00167CE9"/>
    <w:rsid w:val="00167D99"/>
    <w:rsid w:val="0017071D"/>
    <w:rsid w:val="00171001"/>
    <w:rsid w:val="00171FB6"/>
    <w:rsid w:val="00172E4B"/>
    <w:rsid w:val="0017316B"/>
    <w:rsid w:val="0017473C"/>
    <w:rsid w:val="00174822"/>
    <w:rsid w:val="00175113"/>
    <w:rsid w:val="00175370"/>
    <w:rsid w:val="00182924"/>
    <w:rsid w:val="00182E17"/>
    <w:rsid w:val="001843C1"/>
    <w:rsid w:val="001852D1"/>
    <w:rsid w:val="001917B8"/>
    <w:rsid w:val="00192416"/>
    <w:rsid w:val="00193379"/>
    <w:rsid w:val="00195526"/>
    <w:rsid w:val="0019572F"/>
    <w:rsid w:val="00197D78"/>
    <w:rsid w:val="001A1808"/>
    <w:rsid w:val="001A5DC1"/>
    <w:rsid w:val="001A78FB"/>
    <w:rsid w:val="001A7C5F"/>
    <w:rsid w:val="001B2412"/>
    <w:rsid w:val="001B607F"/>
    <w:rsid w:val="001B73DB"/>
    <w:rsid w:val="001C0CFF"/>
    <w:rsid w:val="001C16D7"/>
    <w:rsid w:val="001C6530"/>
    <w:rsid w:val="001D3D88"/>
    <w:rsid w:val="001D4095"/>
    <w:rsid w:val="001D4A9A"/>
    <w:rsid w:val="001D6D60"/>
    <w:rsid w:val="001D7C40"/>
    <w:rsid w:val="001E01EA"/>
    <w:rsid w:val="001E71F9"/>
    <w:rsid w:val="001F04AA"/>
    <w:rsid w:val="001F0694"/>
    <w:rsid w:val="001F4B71"/>
    <w:rsid w:val="001F4C87"/>
    <w:rsid w:val="001F5433"/>
    <w:rsid w:val="001F62A6"/>
    <w:rsid w:val="001F6768"/>
    <w:rsid w:val="00200526"/>
    <w:rsid w:val="00200B63"/>
    <w:rsid w:val="00203787"/>
    <w:rsid w:val="00203A55"/>
    <w:rsid w:val="00204981"/>
    <w:rsid w:val="00205673"/>
    <w:rsid w:val="00211E67"/>
    <w:rsid w:val="002134D2"/>
    <w:rsid w:val="0021445F"/>
    <w:rsid w:val="00215457"/>
    <w:rsid w:val="00217B9D"/>
    <w:rsid w:val="00224682"/>
    <w:rsid w:val="0022546D"/>
    <w:rsid w:val="00225759"/>
    <w:rsid w:val="00231116"/>
    <w:rsid w:val="00231F9C"/>
    <w:rsid w:val="002324D1"/>
    <w:rsid w:val="002332B5"/>
    <w:rsid w:val="00236759"/>
    <w:rsid w:val="0024139E"/>
    <w:rsid w:val="002477E2"/>
    <w:rsid w:val="0024786B"/>
    <w:rsid w:val="002515E2"/>
    <w:rsid w:val="00251BE1"/>
    <w:rsid w:val="0025209E"/>
    <w:rsid w:val="002526CD"/>
    <w:rsid w:val="00253084"/>
    <w:rsid w:val="00253C0D"/>
    <w:rsid w:val="002557A5"/>
    <w:rsid w:val="00256147"/>
    <w:rsid w:val="00256E16"/>
    <w:rsid w:val="002603B8"/>
    <w:rsid w:val="00262CC2"/>
    <w:rsid w:val="00263165"/>
    <w:rsid w:val="00263705"/>
    <w:rsid w:val="00265FF0"/>
    <w:rsid w:val="00266117"/>
    <w:rsid w:val="002665C5"/>
    <w:rsid w:val="00273EF7"/>
    <w:rsid w:val="00273F17"/>
    <w:rsid w:val="002741DF"/>
    <w:rsid w:val="00275D60"/>
    <w:rsid w:val="002801CF"/>
    <w:rsid w:val="002808B5"/>
    <w:rsid w:val="00280EBF"/>
    <w:rsid w:val="00284257"/>
    <w:rsid w:val="00284656"/>
    <w:rsid w:val="00285154"/>
    <w:rsid w:val="002855EE"/>
    <w:rsid w:val="0028673D"/>
    <w:rsid w:val="0029445F"/>
    <w:rsid w:val="00294C75"/>
    <w:rsid w:val="00297FCC"/>
    <w:rsid w:val="002A1E62"/>
    <w:rsid w:val="002A2A76"/>
    <w:rsid w:val="002A4FA2"/>
    <w:rsid w:val="002A573E"/>
    <w:rsid w:val="002B1227"/>
    <w:rsid w:val="002B3C14"/>
    <w:rsid w:val="002B50D3"/>
    <w:rsid w:val="002B6255"/>
    <w:rsid w:val="002B7D5B"/>
    <w:rsid w:val="002C3A17"/>
    <w:rsid w:val="002C4675"/>
    <w:rsid w:val="002C58DE"/>
    <w:rsid w:val="002C6A75"/>
    <w:rsid w:val="002C7437"/>
    <w:rsid w:val="002C76DB"/>
    <w:rsid w:val="002D037D"/>
    <w:rsid w:val="002D3EF8"/>
    <w:rsid w:val="002D41B6"/>
    <w:rsid w:val="002D4789"/>
    <w:rsid w:val="002D4E8B"/>
    <w:rsid w:val="002D6FE2"/>
    <w:rsid w:val="002E4613"/>
    <w:rsid w:val="002E50F5"/>
    <w:rsid w:val="002E5B6D"/>
    <w:rsid w:val="002E7849"/>
    <w:rsid w:val="002F10CC"/>
    <w:rsid w:val="002F3BEF"/>
    <w:rsid w:val="002F679B"/>
    <w:rsid w:val="003002ED"/>
    <w:rsid w:val="00300AD7"/>
    <w:rsid w:val="00301E96"/>
    <w:rsid w:val="00303FB5"/>
    <w:rsid w:val="003044A3"/>
    <w:rsid w:val="003048DB"/>
    <w:rsid w:val="00306051"/>
    <w:rsid w:val="003062D7"/>
    <w:rsid w:val="003078B4"/>
    <w:rsid w:val="0031099F"/>
    <w:rsid w:val="00312B84"/>
    <w:rsid w:val="0031339C"/>
    <w:rsid w:val="00313C12"/>
    <w:rsid w:val="00314404"/>
    <w:rsid w:val="003153DE"/>
    <w:rsid w:val="0031577B"/>
    <w:rsid w:val="0031584E"/>
    <w:rsid w:val="003203BF"/>
    <w:rsid w:val="00322520"/>
    <w:rsid w:val="003257EF"/>
    <w:rsid w:val="003269E9"/>
    <w:rsid w:val="00333175"/>
    <w:rsid w:val="0033550C"/>
    <w:rsid w:val="003375E7"/>
    <w:rsid w:val="00342AF6"/>
    <w:rsid w:val="00344CFB"/>
    <w:rsid w:val="00346936"/>
    <w:rsid w:val="00347CEC"/>
    <w:rsid w:val="00353D51"/>
    <w:rsid w:val="003557E5"/>
    <w:rsid w:val="00362054"/>
    <w:rsid w:val="00364007"/>
    <w:rsid w:val="003658F9"/>
    <w:rsid w:val="00365BA2"/>
    <w:rsid w:val="00367792"/>
    <w:rsid w:val="003767DB"/>
    <w:rsid w:val="00380301"/>
    <w:rsid w:val="00380332"/>
    <w:rsid w:val="00380979"/>
    <w:rsid w:val="00382236"/>
    <w:rsid w:val="003826A6"/>
    <w:rsid w:val="00384FFC"/>
    <w:rsid w:val="003864A0"/>
    <w:rsid w:val="003914FF"/>
    <w:rsid w:val="00391F06"/>
    <w:rsid w:val="00397A2D"/>
    <w:rsid w:val="00397A79"/>
    <w:rsid w:val="003A0680"/>
    <w:rsid w:val="003A0C9F"/>
    <w:rsid w:val="003A0D72"/>
    <w:rsid w:val="003A2FC6"/>
    <w:rsid w:val="003A56A4"/>
    <w:rsid w:val="003A70A2"/>
    <w:rsid w:val="003B02F2"/>
    <w:rsid w:val="003B1A5B"/>
    <w:rsid w:val="003B3DF9"/>
    <w:rsid w:val="003B70FA"/>
    <w:rsid w:val="003C0145"/>
    <w:rsid w:val="003C0A43"/>
    <w:rsid w:val="003C1A2B"/>
    <w:rsid w:val="003C1CD8"/>
    <w:rsid w:val="003C2664"/>
    <w:rsid w:val="003C3490"/>
    <w:rsid w:val="003C57D2"/>
    <w:rsid w:val="003C6B15"/>
    <w:rsid w:val="003C73B0"/>
    <w:rsid w:val="003D1102"/>
    <w:rsid w:val="003D2AF9"/>
    <w:rsid w:val="003D31AA"/>
    <w:rsid w:val="003D350B"/>
    <w:rsid w:val="003D3FAD"/>
    <w:rsid w:val="003D5C11"/>
    <w:rsid w:val="003D799E"/>
    <w:rsid w:val="003E2999"/>
    <w:rsid w:val="003E3210"/>
    <w:rsid w:val="003E6D03"/>
    <w:rsid w:val="003E777A"/>
    <w:rsid w:val="003F0AD0"/>
    <w:rsid w:val="003F21D2"/>
    <w:rsid w:val="003F234A"/>
    <w:rsid w:val="003F2E76"/>
    <w:rsid w:val="003F3AE6"/>
    <w:rsid w:val="003F3EF6"/>
    <w:rsid w:val="003F5190"/>
    <w:rsid w:val="003F5E04"/>
    <w:rsid w:val="003F740E"/>
    <w:rsid w:val="003F7DEE"/>
    <w:rsid w:val="00401F57"/>
    <w:rsid w:val="00404609"/>
    <w:rsid w:val="00406553"/>
    <w:rsid w:val="004130AB"/>
    <w:rsid w:val="004169BB"/>
    <w:rsid w:val="00417161"/>
    <w:rsid w:val="00420E88"/>
    <w:rsid w:val="004218C7"/>
    <w:rsid w:val="00422CE8"/>
    <w:rsid w:val="00423210"/>
    <w:rsid w:val="00423E7C"/>
    <w:rsid w:val="004248D1"/>
    <w:rsid w:val="00425030"/>
    <w:rsid w:val="00425364"/>
    <w:rsid w:val="004264F7"/>
    <w:rsid w:val="00430307"/>
    <w:rsid w:val="00430F4B"/>
    <w:rsid w:val="00432C8C"/>
    <w:rsid w:val="00435239"/>
    <w:rsid w:val="00441726"/>
    <w:rsid w:val="004422B6"/>
    <w:rsid w:val="0044791F"/>
    <w:rsid w:val="00450F5C"/>
    <w:rsid w:val="0045194B"/>
    <w:rsid w:val="004523BB"/>
    <w:rsid w:val="00453713"/>
    <w:rsid w:val="00460598"/>
    <w:rsid w:val="00460F2D"/>
    <w:rsid w:val="00461AFA"/>
    <w:rsid w:val="004620FE"/>
    <w:rsid w:val="00462906"/>
    <w:rsid w:val="00463D70"/>
    <w:rsid w:val="0046652D"/>
    <w:rsid w:val="00466F66"/>
    <w:rsid w:val="00472040"/>
    <w:rsid w:val="00473601"/>
    <w:rsid w:val="00473809"/>
    <w:rsid w:val="0047486D"/>
    <w:rsid w:val="00475B9F"/>
    <w:rsid w:val="00476445"/>
    <w:rsid w:val="00477492"/>
    <w:rsid w:val="00480854"/>
    <w:rsid w:val="00480AC2"/>
    <w:rsid w:val="00485885"/>
    <w:rsid w:val="004863D5"/>
    <w:rsid w:val="00486A18"/>
    <w:rsid w:val="00486ACC"/>
    <w:rsid w:val="00487EFF"/>
    <w:rsid w:val="00491494"/>
    <w:rsid w:val="00492F55"/>
    <w:rsid w:val="004944CE"/>
    <w:rsid w:val="0049530D"/>
    <w:rsid w:val="004970D1"/>
    <w:rsid w:val="004A0016"/>
    <w:rsid w:val="004A128D"/>
    <w:rsid w:val="004A18DF"/>
    <w:rsid w:val="004A1CE6"/>
    <w:rsid w:val="004A3C7A"/>
    <w:rsid w:val="004A42FB"/>
    <w:rsid w:val="004A640B"/>
    <w:rsid w:val="004A7A32"/>
    <w:rsid w:val="004B01D9"/>
    <w:rsid w:val="004B144B"/>
    <w:rsid w:val="004B6CBD"/>
    <w:rsid w:val="004B6CEE"/>
    <w:rsid w:val="004C21ED"/>
    <w:rsid w:val="004C23C4"/>
    <w:rsid w:val="004C3077"/>
    <w:rsid w:val="004C3726"/>
    <w:rsid w:val="004C3A31"/>
    <w:rsid w:val="004C46C1"/>
    <w:rsid w:val="004C5394"/>
    <w:rsid w:val="004C5E25"/>
    <w:rsid w:val="004C6A70"/>
    <w:rsid w:val="004C7086"/>
    <w:rsid w:val="004D0A48"/>
    <w:rsid w:val="004D0A68"/>
    <w:rsid w:val="004D2F5F"/>
    <w:rsid w:val="004E0367"/>
    <w:rsid w:val="004E1756"/>
    <w:rsid w:val="004E2850"/>
    <w:rsid w:val="004E38CD"/>
    <w:rsid w:val="004E3CFE"/>
    <w:rsid w:val="004E4699"/>
    <w:rsid w:val="004E77A9"/>
    <w:rsid w:val="004F0D10"/>
    <w:rsid w:val="004F12CD"/>
    <w:rsid w:val="004F1AD4"/>
    <w:rsid w:val="004F24D4"/>
    <w:rsid w:val="004F2E60"/>
    <w:rsid w:val="004F34D7"/>
    <w:rsid w:val="004F3D25"/>
    <w:rsid w:val="004F40A7"/>
    <w:rsid w:val="004F4B3F"/>
    <w:rsid w:val="00500155"/>
    <w:rsid w:val="0050288C"/>
    <w:rsid w:val="005154BB"/>
    <w:rsid w:val="00520E8C"/>
    <w:rsid w:val="0052346B"/>
    <w:rsid w:val="00523A4C"/>
    <w:rsid w:val="00525303"/>
    <w:rsid w:val="005265BB"/>
    <w:rsid w:val="00527469"/>
    <w:rsid w:val="00527EA7"/>
    <w:rsid w:val="00531E25"/>
    <w:rsid w:val="0053244C"/>
    <w:rsid w:val="0053295F"/>
    <w:rsid w:val="00534973"/>
    <w:rsid w:val="00534F92"/>
    <w:rsid w:val="00535811"/>
    <w:rsid w:val="00537DD5"/>
    <w:rsid w:val="00540E8F"/>
    <w:rsid w:val="00541069"/>
    <w:rsid w:val="005413EF"/>
    <w:rsid w:val="00541DB4"/>
    <w:rsid w:val="00546602"/>
    <w:rsid w:val="005478C5"/>
    <w:rsid w:val="00553293"/>
    <w:rsid w:val="00554E82"/>
    <w:rsid w:val="00557216"/>
    <w:rsid w:val="00557C98"/>
    <w:rsid w:val="00560446"/>
    <w:rsid w:val="00561025"/>
    <w:rsid w:val="00561244"/>
    <w:rsid w:val="00561D4F"/>
    <w:rsid w:val="005624BD"/>
    <w:rsid w:val="005629CD"/>
    <w:rsid w:val="00564346"/>
    <w:rsid w:val="005658C0"/>
    <w:rsid w:val="00565F90"/>
    <w:rsid w:val="0056635F"/>
    <w:rsid w:val="00567D30"/>
    <w:rsid w:val="005752FA"/>
    <w:rsid w:val="00575BF2"/>
    <w:rsid w:val="00576BE6"/>
    <w:rsid w:val="005803F2"/>
    <w:rsid w:val="005835F6"/>
    <w:rsid w:val="005854B9"/>
    <w:rsid w:val="005905DC"/>
    <w:rsid w:val="00596A29"/>
    <w:rsid w:val="005A0517"/>
    <w:rsid w:val="005A0736"/>
    <w:rsid w:val="005A192A"/>
    <w:rsid w:val="005A2847"/>
    <w:rsid w:val="005A47F3"/>
    <w:rsid w:val="005A49B2"/>
    <w:rsid w:val="005B156E"/>
    <w:rsid w:val="005B31CF"/>
    <w:rsid w:val="005B59FB"/>
    <w:rsid w:val="005B5A4D"/>
    <w:rsid w:val="005B7841"/>
    <w:rsid w:val="005C0CC6"/>
    <w:rsid w:val="005C35CF"/>
    <w:rsid w:val="005C4A80"/>
    <w:rsid w:val="005C62AA"/>
    <w:rsid w:val="005C6628"/>
    <w:rsid w:val="005C6B3E"/>
    <w:rsid w:val="005D008B"/>
    <w:rsid w:val="005D2410"/>
    <w:rsid w:val="005D24DE"/>
    <w:rsid w:val="005D39D8"/>
    <w:rsid w:val="005D4BAB"/>
    <w:rsid w:val="005D60FB"/>
    <w:rsid w:val="005D63CF"/>
    <w:rsid w:val="005D63F0"/>
    <w:rsid w:val="005D7140"/>
    <w:rsid w:val="005E29BF"/>
    <w:rsid w:val="005E2DFD"/>
    <w:rsid w:val="005E38C4"/>
    <w:rsid w:val="005E43AC"/>
    <w:rsid w:val="005E4A8E"/>
    <w:rsid w:val="005E5300"/>
    <w:rsid w:val="005E57CE"/>
    <w:rsid w:val="005E5EAA"/>
    <w:rsid w:val="005E6DF0"/>
    <w:rsid w:val="005E7EC6"/>
    <w:rsid w:val="005F2A3A"/>
    <w:rsid w:val="005F3A9D"/>
    <w:rsid w:val="005F3D79"/>
    <w:rsid w:val="005F5D48"/>
    <w:rsid w:val="0060129D"/>
    <w:rsid w:val="00601C16"/>
    <w:rsid w:val="00601E22"/>
    <w:rsid w:val="006042DD"/>
    <w:rsid w:val="0060437D"/>
    <w:rsid w:val="00605613"/>
    <w:rsid w:val="006075A4"/>
    <w:rsid w:val="00610270"/>
    <w:rsid w:val="00611FD5"/>
    <w:rsid w:val="00614528"/>
    <w:rsid w:val="006148AE"/>
    <w:rsid w:val="0061540B"/>
    <w:rsid w:val="00615DED"/>
    <w:rsid w:val="00616140"/>
    <w:rsid w:val="00617BA7"/>
    <w:rsid w:val="006203B4"/>
    <w:rsid w:val="00621863"/>
    <w:rsid w:val="006226BA"/>
    <w:rsid w:val="00623773"/>
    <w:rsid w:val="006263C5"/>
    <w:rsid w:val="00630D88"/>
    <w:rsid w:val="0063344C"/>
    <w:rsid w:val="00633D5D"/>
    <w:rsid w:val="00636076"/>
    <w:rsid w:val="00636106"/>
    <w:rsid w:val="006366A6"/>
    <w:rsid w:val="00636828"/>
    <w:rsid w:val="006373BB"/>
    <w:rsid w:val="006375EA"/>
    <w:rsid w:val="0064093D"/>
    <w:rsid w:val="006448E1"/>
    <w:rsid w:val="00650C49"/>
    <w:rsid w:val="00651A96"/>
    <w:rsid w:val="00653E88"/>
    <w:rsid w:val="006552EE"/>
    <w:rsid w:val="006553BE"/>
    <w:rsid w:val="00656CE3"/>
    <w:rsid w:val="00660138"/>
    <w:rsid w:val="006611D6"/>
    <w:rsid w:val="006627D4"/>
    <w:rsid w:val="00662FD4"/>
    <w:rsid w:val="006655A7"/>
    <w:rsid w:val="00670564"/>
    <w:rsid w:val="006708FB"/>
    <w:rsid w:val="00681F58"/>
    <w:rsid w:val="006847BA"/>
    <w:rsid w:val="006857EB"/>
    <w:rsid w:val="00690372"/>
    <w:rsid w:val="0069103E"/>
    <w:rsid w:val="006933E9"/>
    <w:rsid w:val="00695C3B"/>
    <w:rsid w:val="00697D50"/>
    <w:rsid w:val="006A082B"/>
    <w:rsid w:val="006A0C4F"/>
    <w:rsid w:val="006A15FA"/>
    <w:rsid w:val="006A3160"/>
    <w:rsid w:val="006A7F43"/>
    <w:rsid w:val="006B0C63"/>
    <w:rsid w:val="006B15A6"/>
    <w:rsid w:val="006B19BB"/>
    <w:rsid w:val="006B19F0"/>
    <w:rsid w:val="006B237E"/>
    <w:rsid w:val="006B2CC8"/>
    <w:rsid w:val="006B43CB"/>
    <w:rsid w:val="006B44E3"/>
    <w:rsid w:val="006B4810"/>
    <w:rsid w:val="006B55C8"/>
    <w:rsid w:val="006B70B0"/>
    <w:rsid w:val="006C0B8F"/>
    <w:rsid w:val="006C1D96"/>
    <w:rsid w:val="006C2137"/>
    <w:rsid w:val="006C487C"/>
    <w:rsid w:val="006C5AA4"/>
    <w:rsid w:val="006C66EC"/>
    <w:rsid w:val="006C7251"/>
    <w:rsid w:val="006D023D"/>
    <w:rsid w:val="006D35E4"/>
    <w:rsid w:val="006D4808"/>
    <w:rsid w:val="006D565C"/>
    <w:rsid w:val="006D6A5C"/>
    <w:rsid w:val="006D6A6D"/>
    <w:rsid w:val="006E0B59"/>
    <w:rsid w:val="006E1F4C"/>
    <w:rsid w:val="006E258A"/>
    <w:rsid w:val="006E2C1B"/>
    <w:rsid w:val="006E32B6"/>
    <w:rsid w:val="006E4A38"/>
    <w:rsid w:val="006F2130"/>
    <w:rsid w:val="006F2294"/>
    <w:rsid w:val="006F47CF"/>
    <w:rsid w:val="006F61DE"/>
    <w:rsid w:val="006F6CF9"/>
    <w:rsid w:val="00701699"/>
    <w:rsid w:val="00702536"/>
    <w:rsid w:val="00702D14"/>
    <w:rsid w:val="007064E7"/>
    <w:rsid w:val="007076D9"/>
    <w:rsid w:val="00710DC0"/>
    <w:rsid w:val="00716A8F"/>
    <w:rsid w:val="00725FB3"/>
    <w:rsid w:val="007307D4"/>
    <w:rsid w:val="00730E03"/>
    <w:rsid w:val="007323E0"/>
    <w:rsid w:val="00735BF3"/>
    <w:rsid w:val="00740D67"/>
    <w:rsid w:val="00741A7B"/>
    <w:rsid w:val="007424D0"/>
    <w:rsid w:val="007429E2"/>
    <w:rsid w:val="00745508"/>
    <w:rsid w:val="00745812"/>
    <w:rsid w:val="00746FC2"/>
    <w:rsid w:val="00750753"/>
    <w:rsid w:val="00750BB7"/>
    <w:rsid w:val="00753C85"/>
    <w:rsid w:val="00754014"/>
    <w:rsid w:val="007575B7"/>
    <w:rsid w:val="007602B3"/>
    <w:rsid w:val="00760A92"/>
    <w:rsid w:val="0076141F"/>
    <w:rsid w:val="0077118D"/>
    <w:rsid w:val="00772FCE"/>
    <w:rsid w:val="007742E9"/>
    <w:rsid w:val="00774527"/>
    <w:rsid w:val="00774954"/>
    <w:rsid w:val="00774F45"/>
    <w:rsid w:val="007774CF"/>
    <w:rsid w:val="00781AB5"/>
    <w:rsid w:val="007832B5"/>
    <w:rsid w:val="00786E66"/>
    <w:rsid w:val="007871B3"/>
    <w:rsid w:val="00790065"/>
    <w:rsid w:val="00792273"/>
    <w:rsid w:val="00792B81"/>
    <w:rsid w:val="00797B4C"/>
    <w:rsid w:val="007A03F3"/>
    <w:rsid w:val="007A093F"/>
    <w:rsid w:val="007A35F2"/>
    <w:rsid w:val="007A3669"/>
    <w:rsid w:val="007A427C"/>
    <w:rsid w:val="007A5CC7"/>
    <w:rsid w:val="007A67DD"/>
    <w:rsid w:val="007B1BF5"/>
    <w:rsid w:val="007B52E9"/>
    <w:rsid w:val="007B77E8"/>
    <w:rsid w:val="007C00D4"/>
    <w:rsid w:val="007C0D33"/>
    <w:rsid w:val="007C227F"/>
    <w:rsid w:val="007C404C"/>
    <w:rsid w:val="007C41D7"/>
    <w:rsid w:val="007C55B8"/>
    <w:rsid w:val="007C5A64"/>
    <w:rsid w:val="007C6574"/>
    <w:rsid w:val="007C6E23"/>
    <w:rsid w:val="007C726E"/>
    <w:rsid w:val="007D45A1"/>
    <w:rsid w:val="007D4C6A"/>
    <w:rsid w:val="007E0A1B"/>
    <w:rsid w:val="007E25E3"/>
    <w:rsid w:val="007E39F7"/>
    <w:rsid w:val="007E4D18"/>
    <w:rsid w:val="007E56AB"/>
    <w:rsid w:val="007F0CB5"/>
    <w:rsid w:val="007F2520"/>
    <w:rsid w:val="007F66A7"/>
    <w:rsid w:val="0080166C"/>
    <w:rsid w:val="00802BCC"/>
    <w:rsid w:val="00803E49"/>
    <w:rsid w:val="00805CF9"/>
    <w:rsid w:val="0080625F"/>
    <w:rsid w:val="008073ED"/>
    <w:rsid w:val="00807CA7"/>
    <w:rsid w:val="00811698"/>
    <w:rsid w:val="00812965"/>
    <w:rsid w:val="00813DA5"/>
    <w:rsid w:val="008154C8"/>
    <w:rsid w:val="00815D9A"/>
    <w:rsid w:val="008171EB"/>
    <w:rsid w:val="008179BE"/>
    <w:rsid w:val="00821324"/>
    <w:rsid w:val="00833B82"/>
    <w:rsid w:val="00835016"/>
    <w:rsid w:val="008427E6"/>
    <w:rsid w:val="0084324D"/>
    <w:rsid w:val="00844A71"/>
    <w:rsid w:val="00845D40"/>
    <w:rsid w:val="008503C2"/>
    <w:rsid w:val="00853071"/>
    <w:rsid w:val="00855BE9"/>
    <w:rsid w:val="00855C69"/>
    <w:rsid w:val="00857C6C"/>
    <w:rsid w:val="00857EB3"/>
    <w:rsid w:val="00860869"/>
    <w:rsid w:val="00862BF7"/>
    <w:rsid w:val="00864286"/>
    <w:rsid w:val="008651D5"/>
    <w:rsid w:val="00867363"/>
    <w:rsid w:val="008700EC"/>
    <w:rsid w:val="0087032A"/>
    <w:rsid w:val="00870C6C"/>
    <w:rsid w:val="0087130B"/>
    <w:rsid w:val="0087193E"/>
    <w:rsid w:val="008732D3"/>
    <w:rsid w:val="008735FE"/>
    <w:rsid w:val="008738D9"/>
    <w:rsid w:val="00873B58"/>
    <w:rsid w:val="00875962"/>
    <w:rsid w:val="0087786E"/>
    <w:rsid w:val="00877F1D"/>
    <w:rsid w:val="00883D52"/>
    <w:rsid w:val="008858D2"/>
    <w:rsid w:val="00886051"/>
    <w:rsid w:val="00886593"/>
    <w:rsid w:val="00886AB6"/>
    <w:rsid w:val="008879A0"/>
    <w:rsid w:val="00887CCC"/>
    <w:rsid w:val="00894100"/>
    <w:rsid w:val="00896DB0"/>
    <w:rsid w:val="00897963"/>
    <w:rsid w:val="008A41B5"/>
    <w:rsid w:val="008A4361"/>
    <w:rsid w:val="008A5202"/>
    <w:rsid w:val="008A70C6"/>
    <w:rsid w:val="008A7D38"/>
    <w:rsid w:val="008B025B"/>
    <w:rsid w:val="008B1509"/>
    <w:rsid w:val="008B4B83"/>
    <w:rsid w:val="008B4E94"/>
    <w:rsid w:val="008B5BFF"/>
    <w:rsid w:val="008B752B"/>
    <w:rsid w:val="008C28EA"/>
    <w:rsid w:val="008C2F26"/>
    <w:rsid w:val="008C4008"/>
    <w:rsid w:val="008C4EC5"/>
    <w:rsid w:val="008C5CE7"/>
    <w:rsid w:val="008C64BB"/>
    <w:rsid w:val="008C6639"/>
    <w:rsid w:val="008C786B"/>
    <w:rsid w:val="008D0715"/>
    <w:rsid w:val="008D21E3"/>
    <w:rsid w:val="008D4668"/>
    <w:rsid w:val="008D5286"/>
    <w:rsid w:val="008E0848"/>
    <w:rsid w:val="008E1D78"/>
    <w:rsid w:val="008E4BE0"/>
    <w:rsid w:val="008E5F8B"/>
    <w:rsid w:val="008E7FFE"/>
    <w:rsid w:val="008F16DA"/>
    <w:rsid w:val="008F17A2"/>
    <w:rsid w:val="008F1DA6"/>
    <w:rsid w:val="008F1E09"/>
    <w:rsid w:val="008F538C"/>
    <w:rsid w:val="008F6F8F"/>
    <w:rsid w:val="008F715B"/>
    <w:rsid w:val="008F75B4"/>
    <w:rsid w:val="00902F5A"/>
    <w:rsid w:val="00902FB7"/>
    <w:rsid w:val="00903B80"/>
    <w:rsid w:val="00904798"/>
    <w:rsid w:val="00905B6F"/>
    <w:rsid w:val="0090616A"/>
    <w:rsid w:val="0090789D"/>
    <w:rsid w:val="009116F2"/>
    <w:rsid w:val="009129CC"/>
    <w:rsid w:val="00912C7B"/>
    <w:rsid w:val="009139E3"/>
    <w:rsid w:val="00913D1A"/>
    <w:rsid w:val="00914F00"/>
    <w:rsid w:val="00915AD7"/>
    <w:rsid w:val="00916200"/>
    <w:rsid w:val="00917A39"/>
    <w:rsid w:val="00917B29"/>
    <w:rsid w:val="00921853"/>
    <w:rsid w:val="0092193E"/>
    <w:rsid w:val="0092293D"/>
    <w:rsid w:val="00922E51"/>
    <w:rsid w:val="00925AC1"/>
    <w:rsid w:val="00926AC1"/>
    <w:rsid w:val="00926D61"/>
    <w:rsid w:val="00926F25"/>
    <w:rsid w:val="009270C9"/>
    <w:rsid w:val="009279B2"/>
    <w:rsid w:val="009320FA"/>
    <w:rsid w:val="0093345A"/>
    <w:rsid w:val="00936186"/>
    <w:rsid w:val="009367A8"/>
    <w:rsid w:val="009410B3"/>
    <w:rsid w:val="009427D8"/>
    <w:rsid w:val="00943D16"/>
    <w:rsid w:val="00944D08"/>
    <w:rsid w:val="00950875"/>
    <w:rsid w:val="009510C4"/>
    <w:rsid w:val="0095161E"/>
    <w:rsid w:val="0095203A"/>
    <w:rsid w:val="00953E04"/>
    <w:rsid w:val="0095669C"/>
    <w:rsid w:val="00960E0E"/>
    <w:rsid w:val="00962DFC"/>
    <w:rsid w:val="009630CB"/>
    <w:rsid w:val="00964E92"/>
    <w:rsid w:val="00964FB3"/>
    <w:rsid w:val="00967C86"/>
    <w:rsid w:val="00967F98"/>
    <w:rsid w:val="0097016D"/>
    <w:rsid w:val="00970563"/>
    <w:rsid w:val="00971DF7"/>
    <w:rsid w:val="00973EBA"/>
    <w:rsid w:val="00977A3A"/>
    <w:rsid w:val="00981379"/>
    <w:rsid w:val="009819AB"/>
    <w:rsid w:val="0098272B"/>
    <w:rsid w:val="009828CD"/>
    <w:rsid w:val="00982D07"/>
    <w:rsid w:val="00987D93"/>
    <w:rsid w:val="00991083"/>
    <w:rsid w:val="009913D9"/>
    <w:rsid w:val="009935A0"/>
    <w:rsid w:val="00994A0F"/>
    <w:rsid w:val="00995C4D"/>
    <w:rsid w:val="009A0887"/>
    <w:rsid w:val="009A0B60"/>
    <w:rsid w:val="009A1E66"/>
    <w:rsid w:val="009A2BB6"/>
    <w:rsid w:val="009A38F0"/>
    <w:rsid w:val="009A3EAD"/>
    <w:rsid w:val="009A4857"/>
    <w:rsid w:val="009A7157"/>
    <w:rsid w:val="009A7262"/>
    <w:rsid w:val="009B0EBF"/>
    <w:rsid w:val="009B39AA"/>
    <w:rsid w:val="009C10FF"/>
    <w:rsid w:val="009C12E9"/>
    <w:rsid w:val="009C2B01"/>
    <w:rsid w:val="009C3516"/>
    <w:rsid w:val="009C4E4A"/>
    <w:rsid w:val="009C55B3"/>
    <w:rsid w:val="009C5C4F"/>
    <w:rsid w:val="009C74DC"/>
    <w:rsid w:val="009C76BF"/>
    <w:rsid w:val="009D18E7"/>
    <w:rsid w:val="009D4D81"/>
    <w:rsid w:val="009D64CB"/>
    <w:rsid w:val="009D7736"/>
    <w:rsid w:val="009F2A01"/>
    <w:rsid w:val="009F2D1D"/>
    <w:rsid w:val="009F36AF"/>
    <w:rsid w:val="009F553B"/>
    <w:rsid w:val="009F7FA1"/>
    <w:rsid w:val="00A02B90"/>
    <w:rsid w:val="00A03817"/>
    <w:rsid w:val="00A03BD3"/>
    <w:rsid w:val="00A03F4C"/>
    <w:rsid w:val="00A04259"/>
    <w:rsid w:val="00A078B6"/>
    <w:rsid w:val="00A07EA2"/>
    <w:rsid w:val="00A10040"/>
    <w:rsid w:val="00A107CE"/>
    <w:rsid w:val="00A108A0"/>
    <w:rsid w:val="00A1093A"/>
    <w:rsid w:val="00A13547"/>
    <w:rsid w:val="00A13C85"/>
    <w:rsid w:val="00A14E8B"/>
    <w:rsid w:val="00A1578D"/>
    <w:rsid w:val="00A15D04"/>
    <w:rsid w:val="00A15F8C"/>
    <w:rsid w:val="00A2029F"/>
    <w:rsid w:val="00A21367"/>
    <w:rsid w:val="00A23301"/>
    <w:rsid w:val="00A24AE0"/>
    <w:rsid w:val="00A25224"/>
    <w:rsid w:val="00A25A54"/>
    <w:rsid w:val="00A26517"/>
    <w:rsid w:val="00A34557"/>
    <w:rsid w:val="00A363CC"/>
    <w:rsid w:val="00A41629"/>
    <w:rsid w:val="00A4287F"/>
    <w:rsid w:val="00A42F34"/>
    <w:rsid w:val="00A43887"/>
    <w:rsid w:val="00A43897"/>
    <w:rsid w:val="00A44A90"/>
    <w:rsid w:val="00A46010"/>
    <w:rsid w:val="00A4774A"/>
    <w:rsid w:val="00A54B2B"/>
    <w:rsid w:val="00A552BD"/>
    <w:rsid w:val="00A555C3"/>
    <w:rsid w:val="00A564D4"/>
    <w:rsid w:val="00A5656D"/>
    <w:rsid w:val="00A61CEC"/>
    <w:rsid w:val="00A64F16"/>
    <w:rsid w:val="00A6537D"/>
    <w:rsid w:val="00A669D5"/>
    <w:rsid w:val="00A67AAE"/>
    <w:rsid w:val="00A71BCE"/>
    <w:rsid w:val="00A726FD"/>
    <w:rsid w:val="00A767BD"/>
    <w:rsid w:val="00A7771D"/>
    <w:rsid w:val="00A83D4C"/>
    <w:rsid w:val="00A859EA"/>
    <w:rsid w:val="00A862A4"/>
    <w:rsid w:val="00A90EA3"/>
    <w:rsid w:val="00A920E4"/>
    <w:rsid w:val="00A9365C"/>
    <w:rsid w:val="00A93CA2"/>
    <w:rsid w:val="00A95117"/>
    <w:rsid w:val="00A968F8"/>
    <w:rsid w:val="00A975F4"/>
    <w:rsid w:val="00AA17FA"/>
    <w:rsid w:val="00AA1989"/>
    <w:rsid w:val="00AA2AC3"/>
    <w:rsid w:val="00AA2C4C"/>
    <w:rsid w:val="00AA42DE"/>
    <w:rsid w:val="00AA470E"/>
    <w:rsid w:val="00AA5C2E"/>
    <w:rsid w:val="00AA61E0"/>
    <w:rsid w:val="00AA7F1B"/>
    <w:rsid w:val="00AB0AEC"/>
    <w:rsid w:val="00AB180B"/>
    <w:rsid w:val="00AB1DB7"/>
    <w:rsid w:val="00AB1F2F"/>
    <w:rsid w:val="00AB2C38"/>
    <w:rsid w:val="00AB32F1"/>
    <w:rsid w:val="00AB4319"/>
    <w:rsid w:val="00AB45C4"/>
    <w:rsid w:val="00AB46CF"/>
    <w:rsid w:val="00AB5E5E"/>
    <w:rsid w:val="00AB647D"/>
    <w:rsid w:val="00AB66F2"/>
    <w:rsid w:val="00AB71C5"/>
    <w:rsid w:val="00AC0044"/>
    <w:rsid w:val="00AC0849"/>
    <w:rsid w:val="00AC1428"/>
    <w:rsid w:val="00AC1479"/>
    <w:rsid w:val="00AC231A"/>
    <w:rsid w:val="00AC2791"/>
    <w:rsid w:val="00AC4952"/>
    <w:rsid w:val="00AC69D7"/>
    <w:rsid w:val="00AD08AF"/>
    <w:rsid w:val="00AD09BF"/>
    <w:rsid w:val="00AD0E5B"/>
    <w:rsid w:val="00AD48F4"/>
    <w:rsid w:val="00AD6B7A"/>
    <w:rsid w:val="00AD6E52"/>
    <w:rsid w:val="00AE0E87"/>
    <w:rsid w:val="00AE1DFF"/>
    <w:rsid w:val="00AE3A93"/>
    <w:rsid w:val="00AE46DD"/>
    <w:rsid w:val="00AE47A8"/>
    <w:rsid w:val="00AE4D7F"/>
    <w:rsid w:val="00AE5842"/>
    <w:rsid w:val="00AE6508"/>
    <w:rsid w:val="00AF1241"/>
    <w:rsid w:val="00AF4CED"/>
    <w:rsid w:val="00AF68D6"/>
    <w:rsid w:val="00AF7608"/>
    <w:rsid w:val="00B00702"/>
    <w:rsid w:val="00B0095A"/>
    <w:rsid w:val="00B00B43"/>
    <w:rsid w:val="00B010C3"/>
    <w:rsid w:val="00B016C2"/>
    <w:rsid w:val="00B03AF9"/>
    <w:rsid w:val="00B03FBB"/>
    <w:rsid w:val="00B05473"/>
    <w:rsid w:val="00B07B76"/>
    <w:rsid w:val="00B1087C"/>
    <w:rsid w:val="00B119BE"/>
    <w:rsid w:val="00B12322"/>
    <w:rsid w:val="00B134EC"/>
    <w:rsid w:val="00B20CC2"/>
    <w:rsid w:val="00B23B22"/>
    <w:rsid w:val="00B26EF4"/>
    <w:rsid w:val="00B272D1"/>
    <w:rsid w:val="00B30C74"/>
    <w:rsid w:val="00B30F6C"/>
    <w:rsid w:val="00B34890"/>
    <w:rsid w:val="00B34C01"/>
    <w:rsid w:val="00B34EB8"/>
    <w:rsid w:val="00B35A0D"/>
    <w:rsid w:val="00B36E7D"/>
    <w:rsid w:val="00B4147C"/>
    <w:rsid w:val="00B42AAA"/>
    <w:rsid w:val="00B44A10"/>
    <w:rsid w:val="00B46B4F"/>
    <w:rsid w:val="00B5371B"/>
    <w:rsid w:val="00B53B9E"/>
    <w:rsid w:val="00B54960"/>
    <w:rsid w:val="00B5518D"/>
    <w:rsid w:val="00B579C0"/>
    <w:rsid w:val="00B6046A"/>
    <w:rsid w:val="00B6079C"/>
    <w:rsid w:val="00B61001"/>
    <w:rsid w:val="00B63AA3"/>
    <w:rsid w:val="00B65A3A"/>
    <w:rsid w:val="00B65B49"/>
    <w:rsid w:val="00B66E06"/>
    <w:rsid w:val="00B66FE3"/>
    <w:rsid w:val="00B73FC6"/>
    <w:rsid w:val="00B74F1D"/>
    <w:rsid w:val="00B75ED0"/>
    <w:rsid w:val="00B764CF"/>
    <w:rsid w:val="00B77810"/>
    <w:rsid w:val="00B80A17"/>
    <w:rsid w:val="00B80F9C"/>
    <w:rsid w:val="00B813D2"/>
    <w:rsid w:val="00B817BD"/>
    <w:rsid w:val="00B82974"/>
    <w:rsid w:val="00B8443D"/>
    <w:rsid w:val="00B84995"/>
    <w:rsid w:val="00B87594"/>
    <w:rsid w:val="00B901BB"/>
    <w:rsid w:val="00B91FF6"/>
    <w:rsid w:val="00B93621"/>
    <w:rsid w:val="00B93820"/>
    <w:rsid w:val="00B94238"/>
    <w:rsid w:val="00BA0CC4"/>
    <w:rsid w:val="00BA0D88"/>
    <w:rsid w:val="00BA16EF"/>
    <w:rsid w:val="00BA2B89"/>
    <w:rsid w:val="00BA411C"/>
    <w:rsid w:val="00BA6495"/>
    <w:rsid w:val="00BA76F5"/>
    <w:rsid w:val="00BB16EC"/>
    <w:rsid w:val="00BB3198"/>
    <w:rsid w:val="00BB31CD"/>
    <w:rsid w:val="00BB3304"/>
    <w:rsid w:val="00BB680F"/>
    <w:rsid w:val="00BC0C6A"/>
    <w:rsid w:val="00BC10C3"/>
    <w:rsid w:val="00BC179F"/>
    <w:rsid w:val="00BC2483"/>
    <w:rsid w:val="00BC25C4"/>
    <w:rsid w:val="00BC2996"/>
    <w:rsid w:val="00BC5C55"/>
    <w:rsid w:val="00BC65BF"/>
    <w:rsid w:val="00BC7238"/>
    <w:rsid w:val="00BD22B5"/>
    <w:rsid w:val="00BD3569"/>
    <w:rsid w:val="00BD3DA9"/>
    <w:rsid w:val="00BD50CB"/>
    <w:rsid w:val="00BE0448"/>
    <w:rsid w:val="00BE0ABA"/>
    <w:rsid w:val="00BE3909"/>
    <w:rsid w:val="00BE5638"/>
    <w:rsid w:val="00BF1912"/>
    <w:rsid w:val="00BF44BB"/>
    <w:rsid w:val="00BF6BB4"/>
    <w:rsid w:val="00BF6BFD"/>
    <w:rsid w:val="00C02AD8"/>
    <w:rsid w:val="00C0332A"/>
    <w:rsid w:val="00C035F9"/>
    <w:rsid w:val="00C04C29"/>
    <w:rsid w:val="00C05903"/>
    <w:rsid w:val="00C11C26"/>
    <w:rsid w:val="00C12465"/>
    <w:rsid w:val="00C12A0B"/>
    <w:rsid w:val="00C12CF8"/>
    <w:rsid w:val="00C1307C"/>
    <w:rsid w:val="00C1319E"/>
    <w:rsid w:val="00C14149"/>
    <w:rsid w:val="00C154A5"/>
    <w:rsid w:val="00C15BAE"/>
    <w:rsid w:val="00C16D7F"/>
    <w:rsid w:val="00C201EB"/>
    <w:rsid w:val="00C232CA"/>
    <w:rsid w:val="00C239F3"/>
    <w:rsid w:val="00C277FC"/>
    <w:rsid w:val="00C27BC9"/>
    <w:rsid w:val="00C3167F"/>
    <w:rsid w:val="00C33492"/>
    <w:rsid w:val="00C33C23"/>
    <w:rsid w:val="00C351AE"/>
    <w:rsid w:val="00C362BB"/>
    <w:rsid w:val="00C43F4F"/>
    <w:rsid w:val="00C46329"/>
    <w:rsid w:val="00C47B46"/>
    <w:rsid w:val="00C47DD8"/>
    <w:rsid w:val="00C51286"/>
    <w:rsid w:val="00C51DBC"/>
    <w:rsid w:val="00C52845"/>
    <w:rsid w:val="00C52C1D"/>
    <w:rsid w:val="00C53C0F"/>
    <w:rsid w:val="00C5665F"/>
    <w:rsid w:val="00C6124C"/>
    <w:rsid w:val="00C612A5"/>
    <w:rsid w:val="00C64961"/>
    <w:rsid w:val="00C65462"/>
    <w:rsid w:val="00C6674F"/>
    <w:rsid w:val="00C670B4"/>
    <w:rsid w:val="00C67D8F"/>
    <w:rsid w:val="00C702B6"/>
    <w:rsid w:val="00C7158D"/>
    <w:rsid w:val="00C71D48"/>
    <w:rsid w:val="00C73CB7"/>
    <w:rsid w:val="00C73E52"/>
    <w:rsid w:val="00C74573"/>
    <w:rsid w:val="00C74C92"/>
    <w:rsid w:val="00C80D1A"/>
    <w:rsid w:val="00C8108E"/>
    <w:rsid w:val="00C81D96"/>
    <w:rsid w:val="00C8497B"/>
    <w:rsid w:val="00C861C1"/>
    <w:rsid w:val="00C90221"/>
    <w:rsid w:val="00C91732"/>
    <w:rsid w:val="00C91918"/>
    <w:rsid w:val="00C920B6"/>
    <w:rsid w:val="00C92EC0"/>
    <w:rsid w:val="00C94288"/>
    <w:rsid w:val="00C94BAD"/>
    <w:rsid w:val="00C96540"/>
    <w:rsid w:val="00C96B98"/>
    <w:rsid w:val="00CA1EA7"/>
    <w:rsid w:val="00CA25AF"/>
    <w:rsid w:val="00CA433F"/>
    <w:rsid w:val="00CB0800"/>
    <w:rsid w:val="00CB158B"/>
    <w:rsid w:val="00CB2780"/>
    <w:rsid w:val="00CB2FAA"/>
    <w:rsid w:val="00CB69F1"/>
    <w:rsid w:val="00CB6C41"/>
    <w:rsid w:val="00CC27F3"/>
    <w:rsid w:val="00CC2A3B"/>
    <w:rsid w:val="00CC347F"/>
    <w:rsid w:val="00CC3E76"/>
    <w:rsid w:val="00CC4587"/>
    <w:rsid w:val="00CC4CEC"/>
    <w:rsid w:val="00CC5604"/>
    <w:rsid w:val="00CD1979"/>
    <w:rsid w:val="00CD1DCA"/>
    <w:rsid w:val="00CD39D0"/>
    <w:rsid w:val="00CD3B8E"/>
    <w:rsid w:val="00CD3C78"/>
    <w:rsid w:val="00CD415B"/>
    <w:rsid w:val="00CD667C"/>
    <w:rsid w:val="00CD6AD5"/>
    <w:rsid w:val="00CD76FA"/>
    <w:rsid w:val="00CE024B"/>
    <w:rsid w:val="00CE0B2E"/>
    <w:rsid w:val="00CE1315"/>
    <w:rsid w:val="00CE134C"/>
    <w:rsid w:val="00CE18BA"/>
    <w:rsid w:val="00CE3863"/>
    <w:rsid w:val="00CE5802"/>
    <w:rsid w:val="00CE6030"/>
    <w:rsid w:val="00CE6810"/>
    <w:rsid w:val="00CE6CE0"/>
    <w:rsid w:val="00CE790E"/>
    <w:rsid w:val="00CF0660"/>
    <w:rsid w:val="00CF06E3"/>
    <w:rsid w:val="00CF1A49"/>
    <w:rsid w:val="00CF684B"/>
    <w:rsid w:val="00D01238"/>
    <w:rsid w:val="00D01655"/>
    <w:rsid w:val="00D01C65"/>
    <w:rsid w:val="00D02E6A"/>
    <w:rsid w:val="00D03022"/>
    <w:rsid w:val="00D032CB"/>
    <w:rsid w:val="00D03A2E"/>
    <w:rsid w:val="00D047DC"/>
    <w:rsid w:val="00D055F0"/>
    <w:rsid w:val="00D07BD6"/>
    <w:rsid w:val="00D11193"/>
    <w:rsid w:val="00D126B8"/>
    <w:rsid w:val="00D129B7"/>
    <w:rsid w:val="00D15ECA"/>
    <w:rsid w:val="00D163ED"/>
    <w:rsid w:val="00D17B2A"/>
    <w:rsid w:val="00D17BEA"/>
    <w:rsid w:val="00D17E66"/>
    <w:rsid w:val="00D20D0B"/>
    <w:rsid w:val="00D251DA"/>
    <w:rsid w:val="00D300C3"/>
    <w:rsid w:val="00D30B4C"/>
    <w:rsid w:val="00D33D30"/>
    <w:rsid w:val="00D346F9"/>
    <w:rsid w:val="00D35132"/>
    <w:rsid w:val="00D35BE3"/>
    <w:rsid w:val="00D36155"/>
    <w:rsid w:val="00D400DE"/>
    <w:rsid w:val="00D404E8"/>
    <w:rsid w:val="00D40BBF"/>
    <w:rsid w:val="00D41A85"/>
    <w:rsid w:val="00D42428"/>
    <w:rsid w:val="00D44208"/>
    <w:rsid w:val="00D448C8"/>
    <w:rsid w:val="00D459A3"/>
    <w:rsid w:val="00D45F74"/>
    <w:rsid w:val="00D4606F"/>
    <w:rsid w:val="00D4671F"/>
    <w:rsid w:val="00D50869"/>
    <w:rsid w:val="00D53B05"/>
    <w:rsid w:val="00D61EE7"/>
    <w:rsid w:val="00D62FDC"/>
    <w:rsid w:val="00D63BFA"/>
    <w:rsid w:val="00D6796B"/>
    <w:rsid w:val="00D67989"/>
    <w:rsid w:val="00D70A99"/>
    <w:rsid w:val="00D71649"/>
    <w:rsid w:val="00D72FD3"/>
    <w:rsid w:val="00D73F8E"/>
    <w:rsid w:val="00D74EBE"/>
    <w:rsid w:val="00D80C01"/>
    <w:rsid w:val="00D81FD4"/>
    <w:rsid w:val="00D86AA8"/>
    <w:rsid w:val="00D9003F"/>
    <w:rsid w:val="00D90366"/>
    <w:rsid w:val="00D909F7"/>
    <w:rsid w:val="00D93C09"/>
    <w:rsid w:val="00D94126"/>
    <w:rsid w:val="00D94E9E"/>
    <w:rsid w:val="00D96FB2"/>
    <w:rsid w:val="00DA2AB1"/>
    <w:rsid w:val="00DA3F6A"/>
    <w:rsid w:val="00DA58EC"/>
    <w:rsid w:val="00DA6094"/>
    <w:rsid w:val="00DA613E"/>
    <w:rsid w:val="00DA7580"/>
    <w:rsid w:val="00DB0BF6"/>
    <w:rsid w:val="00DB2C40"/>
    <w:rsid w:val="00DB5B35"/>
    <w:rsid w:val="00DB7A71"/>
    <w:rsid w:val="00DC187D"/>
    <w:rsid w:val="00DC2811"/>
    <w:rsid w:val="00DC2BE4"/>
    <w:rsid w:val="00DC45A3"/>
    <w:rsid w:val="00DC4630"/>
    <w:rsid w:val="00DD4553"/>
    <w:rsid w:val="00DD487C"/>
    <w:rsid w:val="00DD4C9A"/>
    <w:rsid w:val="00DD680B"/>
    <w:rsid w:val="00DD6814"/>
    <w:rsid w:val="00DD6B41"/>
    <w:rsid w:val="00DD6FF0"/>
    <w:rsid w:val="00DD7C3F"/>
    <w:rsid w:val="00DE0DF8"/>
    <w:rsid w:val="00DE0EBC"/>
    <w:rsid w:val="00DE1ABF"/>
    <w:rsid w:val="00DE317A"/>
    <w:rsid w:val="00DE3E99"/>
    <w:rsid w:val="00DE41D2"/>
    <w:rsid w:val="00DE653D"/>
    <w:rsid w:val="00DE76F2"/>
    <w:rsid w:val="00DF0023"/>
    <w:rsid w:val="00DF12FF"/>
    <w:rsid w:val="00DF1E13"/>
    <w:rsid w:val="00DF5D20"/>
    <w:rsid w:val="00DF786D"/>
    <w:rsid w:val="00DF7ACE"/>
    <w:rsid w:val="00E01760"/>
    <w:rsid w:val="00E021CC"/>
    <w:rsid w:val="00E03555"/>
    <w:rsid w:val="00E0439F"/>
    <w:rsid w:val="00E056B9"/>
    <w:rsid w:val="00E068E8"/>
    <w:rsid w:val="00E071BB"/>
    <w:rsid w:val="00E07A05"/>
    <w:rsid w:val="00E07F87"/>
    <w:rsid w:val="00E10BBA"/>
    <w:rsid w:val="00E11F4D"/>
    <w:rsid w:val="00E14ED8"/>
    <w:rsid w:val="00E150E0"/>
    <w:rsid w:val="00E162A8"/>
    <w:rsid w:val="00E16CD4"/>
    <w:rsid w:val="00E17513"/>
    <w:rsid w:val="00E175CD"/>
    <w:rsid w:val="00E2102D"/>
    <w:rsid w:val="00E2299A"/>
    <w:rsid w:val="00E243A6"/>
    <w:rsid w:val="00E2688A"/>
    <w:rsid w:val="00E302E7"/>
    <w:rsid w:val="00E364CD"/>
    <w:rsid w:val="00E407F5"/>
    <w:rsid w:val="00E41582"/>
    <w:rsid w:val="00E4303C"/>
    <w:rsid w:val="00E445CB"/>
    <w:rsid w:val="00E46C01"/>
    <w:rsid w:val="00E47401"/>
    <w:rsid w:val="00E47E75"/>
    <w:rsid w:val="00E5182C"/>
    <w:rsid w:val="00E53004"/>
    <w:rsid w:val="00E5404F"/>
    <w:rsid w:val="00E546C7"/>
    <w:rsid w:val="00E54CAF"/>
    <w:rsid w:val="00E56157"/>
    <w:rsid w:val="00E56164"/>
    <w:rsid w:val="00E57142"/>
    <w:rsid w:val="00E61C2C"/>
    <w:rsid w:val="00E7756E"/>
    <w:rsid w:val="00E801E0"/>
    <w:rsid w:val="00E802AB"/>
    <w:rsid w:val="00E8048D"/>
    <w:rsid w:val="00E8099C"/>
    <w:rsid w:val="00E81030"/>
    <w:rsid w:val="00E810B2"/>
    <w:rsid w:val="00E85428"/>
    <w:rsid w:val="00E933BE"/>
    <w:rsid w:val="00E939C7"/>
    <w:rsid w:val="00E94EB4"/>
    <w:rsid w:val="00E9595F"/>
    <w:rsid w:val="00E97415"/>
    <w:rsid w:val="00EA0261"/>
    <w:rsid w:val="00EA0417"/>
    <w:rsid w:val="00EA23EF"/>
    <w:rsid w:val="00EA3229"/>
    <w:rsid w:val="00EA6662"/>
    <w:rsid w:val="00EA69EA"/>
    <w:rsid w:val="00EA7955"/>
    <w:rsid w:val="00EB49D3"/>
    <w:rsid w:val="00EB63F4"/>
    <w:rsid w:val="00EB79BF"/>
    <w:rsid w:val="00EC1217"/>
    <w:rsid w:val="00EC1272"/>
    <w:rsid w:val="00EC28BE"/>
    <w:rsid w:val="00EC2D27"/>
    <w:rsid w:val="00EC3AC7"/>
    <w:rsid w:val="00EC3FC7"/>
    <w:rsid w:val="00EC59B5"/>
    <w:rsid w:val="00EC59EA"/>
    <w:rsid w:val="00EC73C2"/>
    <w:rsid w:val="00ED4C66"/>
    <w:rsid w:val="00ED5BBF"/>
    <w:rsid w:val="00ED5E08"/>
    <w:rsid w:val="00EE1BA2"/>
    <w:rsid w:val="00EE3902"/>
    <w:rsid w:val="00EE52C9"/>
    <w:rsid w:val="00EE64C3"/>
    <w:rsid w:val="00EF0A6F"/>
    <w:rsid w:val="00EF2D1C"/>
    <w:rsid w:val="00EF3C68"/>
    <w:rsid w:val="00EF5E33"/>
    <w:rsid w:val="00F02339"/>
    <w:rsid w:val="00F02794"/>
    <w:rsid w:val="00F02C31"/>
    <w:rsid w:val="00F04FA7"/>
    <w:rsid w:val="00F0663F"/>
    <w:rsid w:val="00F06D0B"/>
    <w:rsid w:val="00F10F9D"/>
    <w:rsid w:val="00F12D22"/>
    <w:rsid w:val="00F1352B"/>
    <w:rsid w:val="00F13D98"/>
    <w:rsid w:val="00F1518A"/>
    <w:rsid w:val="00F161D9"/>
    <w:rsid w:val="00F1637C"/>
    <w:rsid w:val="00F2194A"/>
    <w:rsid w:val="00F21A25"/>
    <w:rsid w:val="00F23585"/>
    <w:rsid w:val="00F23C35"/>
    <w:rsid w:val="00F25295"/>
    <w:rsid w:val="00F3284D"/>
    <w:rsid w:val="00F32BCE"/>
    <w:rsid w:val="00F33E0F"/>
    <w:rsid w:val="00F3697D"/>
    <w:rsid w:val="00F41DB8"/>
    <w:rsid w:val="00F47890"/>
    <w:rsid w:val="00F50CB1"/>
    <w:rsid w:val="00F5183A"/>
    <w:rsid w:val="00F51A5E"/>
    <w:rsid w:val="00F51BC1"/>
    <w:rsid w:val="00F51F21"/>
    <w:rsid w:val="00F5255B"/>
    <w:rsid w:val="00F5426C"/>
    <w:rsid w:val="00F606E8"/>
    <w:rsid w:val="00F62A69"/>
    <w:rsid w:val="00F6466A"/>
    <w:rsid w:val="00F664F5"/>
    <w:rsid w:val="00F66A26"/>
    <w:rsid w:val="00F6786E"/>
    <w:rsid w:val="00F7144D"/>
    <w:rsid w:val="00F725F6"/>
    <w:rsid w:val="00F7328D"/>
    <w:rsid w:val="00F7430F"/>
    <w:rsid w:val="00F75333"/>
    <w:rsid w:val="00F76A30"/>
    <w:rsid w:val="00F77752"/>
    <w:rsid w:val="00F82187"/>
    <w:rsid w:val="00F8233A"/>
    <w:rsid w:val="00F83C56"/>
    <w:rsid w:val="00F85BAB"/>
    <w:rsid w:val="00F87307"/>
    <w:rsid w:val="00FA012C"/>
    <w:rsid w:val="00FA1348"/>
    <w:rsid w:val="00FA1962"/>
    <w:rsid w:val="00FA235D"/>
    <w:rsid w:val="00FB00F6"/>
    <w:rsid w:val="00FB02C1"/>
    <w:rsid w:val="00FB53D5"/>
    <w:rsid w:val="00FB5D68"/>
    <w:rsid w:val="00FB67E1"/>
    <w:rsid w:val="00FB69BC"/>
    <w:rsid w:val="00FB76FB"/>
    <w:rsid w:val="00FB79A5"/>
    <w:rsid w:val="00FC5077"/>
    <w:rsid w:val="00FC5D19"/>
    <w:rsid w:val="00FD0026"/>
    <w:rsid w:val="00FD0ECF"/>
    <w:rsid w:val="00FD2297"/>
    <w:rsid w:val="00FD474E"/>
    <w:rsid w:val="00FD6D43"/>
    <w:rsid w:val="00FE438B"/>
    <w:rsid w:val="00FE6D04"/>
    <w:rsid w:val="00FE77AD"/>
    <w:rsid w:val="00FF0F57"/>
    <w:rsid w:val="00FF16E4"/>
    <w:rsid w:val="00FF65BB"/>
    <w:rsid w:val="00FF6752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B8"/>
  <w15:chartTrackingRefBased/>
  <w15:docId w15:val="{BA959D71-D1E4-454C-9EAD-8C57E9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26E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26E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6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346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258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982">
          <w:marLeft w:val="0"/>
          <w:marRight w:val="0"/>
          <w:marTop w:val="0"/>
          <w:marBottom w:val="0"/>
          <w:divBdr>
            <w:top w:val="single" w:sz="6" w:space="0" w:color="F2CA25"/>
            <w:left w:val="single" w:sz="6" w:space="0" w:color="F2CA25"/>
            <w:bottom w:val="single" w:sz="6" w:space="0" w:color="F2CA25"/>
            <w:right w:val="single" w:sz="6" w:space="0" w:color="F2CA25"/>
          </w:divBdr>
          <w:divsChild>
            <w:div w:id="1674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838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371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169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599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063">
          <w:marLeft w:val="0"/>
          <w:marRight w:val="0"/>
          <w:marTop w:val="0"/>
          <w:marBottom w:val="0"/>
          <w:divBdr>
            <w:top w:val="single" w:sz="6" w:space="0" w:color="F2CA25"/>
            <w:left w:val="single" w:sz="6" w:space="0" w:color="F2CA25"/>
            <w:bottom w:val="single" w:sz="6" w:space="0" w:color="F2CA25"/>
            <w:right w:val="single" w:sz="6" w:space="0" w:color="F2CA25"/>
          </w:divBdr>
          <w:divsChild>
            <w:div w:id="14450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6477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1236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1728">
                      <w:marLeft w:val="0"/>
                      <w:marRight w:val="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9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26057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23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5807941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4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878</cp:revision>
  <dcterms:created xsi:type="dcterms:W3CDTF">2024-10-15T19:00:00Z</dcterms:created>
  <dcterms:modified xsi:type="dcterms:W3CDTF">2024-11-01T12:12:00Z</dcterms:modified>
</cp:coreProperties>
</file>