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>Carl J. Circo</w:t>
      </w:r>
    </w:p>
    <w:p w14:paraId="008B983A" w14:textId="77777777" w:rsidR="007C726E" w:rsidRDefault="007C726E" w:rsidP="007C726E">
      <w:pPr>
        <w:jc w:val="center"/>
      </w:pPr>
    </w:p>
    <w:p w14:paraId="065B9A27" w14:textId="1C66DA43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2277DD">
        <w:rPr>
          <w:b/>
          <w:bCs/>
        </w:rPr>
        <w:t>12</w:t>
      </w:r>
      <w:r w:rsidRPr="636C9287">
        <w:rPr>
          <w:b/>
          <w:bCs/>
        </w:rPr>
        <w:t>:</w:t>
      </w:r>
      <w:r w:rsidR="001B03C0">
        <w:rPr>
          <w:b/>
          <w:bCs/>
        </w:rPr>
        <w:t xml:space="preserve"> Defective Construction</w:t>
      </w:r>
      <w:r w:rsidRPr="636C9287">
        <w:rPr>
          <w:b/>
          <w:bCs/>
        </w:rPr>
        <w:t xml:space="preserve"> 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1274E3B8" w14:textId="5E8904C9" w:rsidR="002B50D3" w:rsidRDefault="003C37F8" w:rsidP="00854E5F">
      <w:pPr>
        <w:spacing w:after="160" w:line="259" w:lineRule="auto"/>
        <w:ind w:firstLine="720"/>
      </w:pPr>
      <w:r>
        <w:t xml:space="preserve">Liability for defective construction </w:t>
      </w:r>
      <w:r w:rsidR="00E079B1">
        <w:t xml:space="preserve">involves many of the same </w:t>
      </w:r>
      <w:r>
        <w:t>legal theories and principles</w:t>
      </w:r>
      <w:r w:rsidR="00E079B1">
        <w:t xml:space="preserve"> </w:t>
      </w:r>
      <w:r w:rsidR="00711C2E">
        <w:t>that</w:t>
      </w:r>
      <w:r w:rsidR="00A817FD">
        <w:t xml:space="preserve"> Lesson 11</w:t>
      </w:r>
      <w:r w:rsidR="002D361E">
        <w:t xml:space="preserve"> covers concerning</w:t>
      </w:r>
      <w:r w:rsidR="00E079B1">
        <w:t xml:space="preserve"> defective design, materials, and </w:t>
      </w:r>
      <w:r w:rsidR="004A448E">
        <w:t>equipment</w:t>
      </w:r>
      <w:r w:rsidR="00E079B1">
        <w:t>.</w:t>
      </w:r>
      <w:r>
        <w:t xml:space="preserve"> </w:t>
      </w:r>
      <w:r w:rsidR="00EA4BB7">
        <w:t xml:space="preserve">In </w:t>
      </w:r>
      <w:r w:rsidR="00EA4BB7" w:rsidRPr="00FB34A3">
        <w:rPr>
          <w:i/>
          <w:iCs/>
        </w:rPr>
        <w:t xml:space="preserve">Construction Defect Claims Against Design Professionals and Contractors, </w:t>
      </w:r>
      <w:r w:rsidR="00EA4BB7">
        <w:t xml:space="preserve">23 </w:t>
      </w:r>
      <w:r w:rsidR="00EA4BB7" w:rsidRPr="00853D40">
        <w:t>Constr. Law</w:t>
      </w:r>
      <w:r w:rsidR="00EA4BB7" w:rsidRPr="008E73B0">
        <w:t>.</w:t>
      </w:r>
      <w:r w:rsidR="00EA4BB7">
        <w:t xml:space="preserve"> 9</w:t>
      </w:r>
      <w:r w:rsidR="00EA4BB7" w:rsidRPr="008E73B0">
        <w:t xml:space="preserve"> </w:t>
      </w:r>
      <w:r w:rsidR="00EA4BB7">
        <w:t>(</w:t>
      </w:r>
      <w:r w:rsidR="00EA4BB7" w:rsidRPr="008E73B0">
        <w:t>Spring 2003</w:t>
      </w:r>
      <w:r w:rsidR="00EA4BB7">
        <w:t xml:space="preserve">), by John W. Hays, read </w:t>
      </w:r>
      <w:r w:rsidR="00FA4C9B">
        <w:t>from the heading</w:t>
      </w:r>
      <w:r w:rsidR="009168FD">
        <w:t xml:space="preserve"> “Claims Against the Contractor and Installer/Subcontractor” to the end of the article.</w:t>
      </w:r>
      <w:r w:rsidR="00387E66">
        <w:t xml:space="preserve"> </w:t>
      </w:r>
      <w:r w:rsidR="00937945">
        <w:t>While</w:t>
      </w:r>
      <w:r w:rsidR="00917DF9">
        <w:t xml:space="preserve"> a</w:t>
      </w:r>
      <w:r w:rsidR="002F48ED">
        <w:t xml:space="preserve"> construction defect </w:t>
      </w:r>
      <w:r w:rsidR="00EE661C">
        <w:t>case</w:t>
      </w:r>
      <w:r w:rsidR="002F48ED">
        <w:t xml:space="preserve"> </w:t>
      </w:r>
      <w:r w:rsidR="00BF3DFF">
        <w:t xml:space="preserve">commonly </w:t>
      </w:r>
      <w:r w:rsidR="00617CBB">
        <w:t>assert</w:t>
      </w:r>
      <w:r w:rsidR="00917DF9">
        <w:t>s</w:t>
      </w:r>
      <w:r w:rsidR="00937945">
        <w:t xml:space="preserve"> </w:t>
      </w:r>
      <w:r w:rsidR="001A31E5">
        <w:t xml:space="preserve">a </w:t>
      </w:r>
      <w:r w:rsidR="00937945">
        <w:t xml:space="preserve">simple breach of contract </w:t>
      </w:r>
      <w:r w:rsidR="00961038">
        <w:t>or</w:t>
      </w:r>
      <w:r w:rsidR="00937945">
        <w:t xml:space="preserve"> breach of warranty, </w:t>
      </w:r>
      <w:r w:rsidR="00387E66">
        <w:t xml:space="preserve">as Hays explains, </w:t>
      </w:r>
      <w:r w:rsidR="00CB2E22">
        <w:t xml:space="preserve">depending on the circumstances, </w:t>
      </w:r>
      <w:r w:rsidR="00743197">
        <w:t xml:space="preserve">plaintiffs may </w:t>
      </w:r>
      <w:r w:rsidR="00961038">
        <w:t xml:space="preserve">also </w:t>
      </w:r>
      <w:r w:rsidR="00743197">
        <w:t>base</w:t>
      </w:r>
      <w:r w:rsidR="002F7FBE">
        <w:t xml:space="preserve"> defective construction </w:t>
      </w:r>
      <w:r w:rsidR="00743197">
        <w:t xml:space="preserve">claims on other </w:t>
      </w:r>
      <w:r w:rsidR="00411C76">
        <w:t>legal theories</w:t>
      </w:r>
      <w:r w:rsidR="00387E66">
        <w:t xml:space="preserve">, including negligence, </w:t>
      </w:r>
      <w:r w:rsidR="0010448E">
        <w:t>negligent misrepresentation, and violation of consumer protection laws.</w:t>
      </w:r>
    </w:p>
    <w:p w14:paraId="68156794" w14:textId="3B844720" w:rsidR="00121B7E" w:rsidRDefault="00F75152" w:rsidP="001C2E44">
      <w:pPr>
        <w:spacing w:after="160" w:line="259" w:lineRule="auto"/>
        <w:ind w:firstLine="720"/>
      </w:pPr>
      <w:r>
        <w:t xml:space="preserve">Next, read </w:t>
      </w:r>
      <w:r w:rsidRPr="00F75152">
        <w:rPr>
          <w:i/>
          <w:iCs/>
        </w:rPr>
        <w:t>Liability for Construction Defects That Result from Multiple Causes</w:t>
      </w:r>
      <w:r>
        <w:t xml:space="preserve">, 9 </w:t>
      </w:r>
      <w:r w:rsidRPr="00F75152">
        <w:t>Am. Coll. Constr. Laws. J</w:t>
      </w:r>
      <w:r>
        <w:t>. 2 (</w:t>
      </w:r>
      <w:r w:rsidR="00E953EA">
        <w:t xml:space="preserve">January </w:t>
      </w:r>
      <w:r>
        <w:t>2015), by James S. Schenck, IV</w:t>
      </w:r>
      <w:r w:rsidR="00D304D6">
        <w:t xml:space="preserve"> and</w:t>
      </w:r>
      <w:r>
        <w:t xml:space="preserve"> Kelli E. Goss. As </w:t>
      </w:r>
      <w:r w:rsidR="00CB7558">
        <w:t>this article explains</w:t>
      </w:r>
      <w:r>
        <w:t xml:space="preserve">, </w:t>
      </w:r>
      <w:r w:rsidR="004758E1">
        <w:t xml:space="preserve">assessing liability </w:t>
      </w:r>
      <w:r w:rsidR="004F7D5A">
        <w:t>become</w:t>
      </w:r>
      <w:r w:rsidR="00257C2D">
        <w:t>s</w:t>
      </w:r>
      <w:r w:rsidR="004758E1">
        <w:t xml:space="preserve"> </w:t>
      </w:r>
      <w:r w:rsidR="00257C2D">
        <w:t>more</w:t>
      </w:r>
      <w:r w:rsidR="00F9617E">
        <w:t xml:space="preserve"> complex </w:t>
      </w:r>
      <w:r w:rsidR="00FC5666">
        <w:t xml:space="preserve">when </w:t>
      </w:r>
      <w:r w:rsidR="001C2F92">
        <w:t xml:space="preserve">multiple participants </w:t>
      </w:r>
      <w:r w:rsidR="0089031D">
        <w:t>and multiple causes</w:t>
      </w:r>
      <w:r w:rsidR="00FC5666">
        <w:t xml:space="preserve"> may have contributed to the alleged defect</w:t>
      </w:r>
      <w:r>
        <w:t>.</w:t>
      </w:r>
      <w:r w:rsidR="00B845CF">
        <w:t xml:space="preserve"> </w:t>
      </w:r>
      <w:r w:rsidR="00F9617E">
        <w:t xml:space="preserve">First, the </w:t>
      </w:r>
      <w:r w:rsidR="00591B7B">
        <w:t xml:space="preserve">fact finder must sort through </w:t>
      </w:r>
      <w:r w:rsidR="00291166">
        <w:t>the</w:t>
      </w:r>
      <w:r w:rsidR="007F3A31">
        <w:t xml:space="preserve"> </w:t>
      </w:r>
      <w:r w:rsidR="00B71AE9">
        <w:t>evidence</w:t>
      </w:r>
      <w:r w:rsidR="00291166">
        <w:t xml:space="preserve">, which may be </w:t>
      </w:r>
      <w:r w:rsidR="0032442A">
        <w:t>technically challenging</w:t>
      </w:r>
      <w:r w:rsidR="00843601">
        <w:t xml:space="preserve">, to determine </w:t>
      </w:r>
      <w:r w:rsidR="009242A8">
        <w:t xml:space="preserve">which participant or participants </w:t>
      </w:r>
      <w:r w:rsidR="003E6850">
        <w:t>caused</w:t>
      </w:r>
      <w:r w:rsidR="00A41EA0">
        <w:t xml:space="preserve"> </w:t>
      </w:r>
      <w:r w:rsidR="004D036E">
        <w:t>the</w:t>
      </w:r>
      <w:r w:rsidR="003E6850">
        <w:t xml:space="preserve"> alleged</w:t>
      </w:r>
      <w:r w:rsidR="004D036E">
        <w:t xml:space="preserve"> defect</w:t>
      </w:r>
      <w:r w:rsidR="001E2241">
        <w:t xml:space="preserve">. </w:t>
      </w:r>
      <w:r w:rsidR="00A56F95">
        <w:t xml:space="preserve">Then, </w:t>
      </w:r>
      <w:r w:rsidR="006B7DAB">
        <w:t xml:space="preserve">if </w:t>
      </w:r>
      <w:r w:rsidR="00A56F95">
        <w:t xml:space="preserve">two or more </w:t>
      </w:r>
      <w:r w:rsidR="005E7197">
        <w:t xml:space="preserve">participants </w:t>
      </w:r>
      <w:r w:rsidR="006B7DAB">
        <w:t xml:space="preserve">share </w:t>
      </w:r>
      <w:r w:rsidR="00656C57">
        <w:t xml:space="preserve">that </w:t>
      </w:r>
      <w:r w:rsidR="006B7DAB">
        <w:t xml:space="preserve">responsibility, </w:t>
      </w:r>
      <w:r w:rsidR="006C2C07">
        <w:t xml:space="preserve">the legal system </w:t>
      </w:r>
      <w:r w:rsidR="003D69D7">
        <w:t xml:space="preserve">must </w:t>
      </w:r>
      <w:r w:rsidR="0042724C">
        <w:t>address whether or how to</w:t>
      </w:r>
      <w:r w:rsidR="00577306">
        <w:t xml:space="preserve"> apportion</w:t>
      </w:r>
      <w:r>
        <w:t xml:space="preserve"> damages</w:t>
      </w:r>
      <w:r w:rsidR="00A35A2B">
        <w:t xml:space="preserve"> between or among those participants. </w:t>
      </w:r>
      <w:r w:rsidR="006343A8">
        <w:t>Apportionment</w:t>
      </w:r>
      <w:r w:rsidR="00A35A2B">
        <w:t xml:space="preserve"> </w:t>
      </w:r>
      <w:r w:rsidR="00974C5A">
        <w:t xml:space="preserve">principles vary </w:t>
      </w:r>
      <w:r w:rsidR="00DA0825">
        <w:t xml:space="preserve">not only from one jurisdiction to </w:t>
      </w:r>
      <w:r w:rsidR="00633486">
        <w:t>another</w:t>
      </w:r>
      <w:r w:rsidR="00DA0825">
        <w:t xml:space="preserve"> but</w:t>
      </w:r>
      <w:r w:rsidR="00633486">
        <w:t xml:space="preserve"> also</w:t>
      </w:r>
      <w:r w:rsidR="00DA0825">
        <w:t xml:space="preserve"> based on whether </w:t>
      </w:r>
      <w:r w:rsidR="00D44DAD">
        <w:t xml:space="preserve">contract law or tort law </w:t>
      </w:r>
      <w:r w:rsidR="00DA0825">
        <w:t>provides the basis</w:t>
      </w:r>
      <w:r w:rsidR="006343A8">
        <w:t xml:space="preserve"> or bases</w:t>
      </w:r>
      <w:r w:rsidR="00DA0825">
        <w:t xml:space="preserve"> of liability.</w:t>
      </w:r>
      <w:r w:rsidR="00E6404C">
        <w:t xml:space="preserve"> </w:t>
      </w:r>
      <w:r w:rsidR="00B7710B">
        <w:t xml:space="preserve">While </w:t>
      </w:r>
      <w:r w:rsidR="00FB585D">
        <w:t>Schenck and Goss</w:t>
      </w:r>
      <w:r w:rsidR="00867E56">
        <w:t xml:space="preserve"> only </w:t>
      </w:r>
      <w:r w:rsidR="00A05DAD">
        <w:t xml:space="preserve">discusses defect cases, </w:t>
      </w:r>
      <w:r w:rsidR="00B75DFC">
        <w:t>similar problems of causation and apportionment of liability</w:t>
      </w:r>
      <w:r w:rsidR="0074300D">
        <w:t xml:space="preserve"> can arise whenever</w:t>
      </w:r>
      <w:r w:rsidR="00D91707">
        <w:t xml:space="preserve"> </w:t>
      </w:r>
      <w:r w:rsidR="0074300D">
        <w:t>construction litigation involves</w:t>
      </w:r>
      <w:r w:rsidR="00A05DAD">
        <w:t xml:space="preserve"> </w:t>
      </w:r>
      <w:r w:rsidR="00126FD9">
        <w:t>multiple project participants (</w:t>
      </w:r>
      <w:r w:rsidR="00E92A80">
        <w:t xml:space="preserve">as </w:t>
      </w:r>
      <w:r w:rsidR="00FB585D">
        <w:t xml:space="preserve">is often the case with </w:t>
      </w:r>
      <w:r w:rsidR="00E92A80">
        <w:t>disputes over delay</w:t>
      </w:r>
      <w:r w:rsidR="008A6E20">
        <w:t>s or cost overruns).</w:t>
      </w:r>
    </w:p>
    <w:p w14:paraId="14A1FAA4" w14:textId="17C6EF3E" w:rsidR="001016EA" w:rsidRDefault="00D74A69" w:rsidP="001C2E44">
      <w:pPr>
        <w:spacing w:after="160" w:line="259" w:lineRule="auto"/>
        <w:ind w:firstLine="720"/>
      </w:pPr>
      <w:r>
        <w:t xml:space="preserve">Schenck and Goss </w:t>
      </w:r>
      <w:r w:rsidR="00DB352D">
        <w:t xml:space="preserve">also </w:t>
      </w:r>
      <w:r w:rsidR="00D2421A">
        <w:t>delve into</w:t>
      </w:r>
      <w:r w:rsidR="00FE3AA9">
        <w:t xml:space="preserve"> several</w:t>
      </w:r>
      <w:r w:rsidR="00D2421A">
        <w:t xml:space="preserve"> </w:t>
      </w:r>
      <w:r w:rsidR="007D44BD">
        <w:t>other</w:t>
      </w:r>
      <w:r w:rsidR="00FB21CB">
        <w:t xml:space="preserve"> </w:t>
      </w:r>
      <w:r w:rsidR="00AC2A2A">
        <w:t>issues</w:t>
      </w:r>
      <w:r w:rsidR="00F76EAB">
        <w:t xml:space="preserve"> </w:t>
      </w:r>
      <w:r w:rsidR="00C84F4E">
        <w:t>that</w:t>
      </w:r>
      <w:r w:rsidR="0048491B">
        <w:t xml:space="preserve"> </w:t>
      </w:r>
      <w:r w:rsidR="00EB4C40">
        <w:t>construction defect cases</w:t>
      </w:r>
      <w:r w:rsidR="006A1114">
        <w:t xml:space="preserve"> often present</w:t>
      </w:r>
      <w:r w:rsidR="003D1217">
        <w:t>.</w:t>
      </w:r>
      <w:r w:rsidR="00AD5A0E">
        <w:t xml:space="preserve"> </w:t>
      </w:r>
      <w:r w:rsidR="00CB471D">
        <w:t>For current purposes, t</w:t>
      </w:r>
      <w:r w:rsidR="00AD5A0E">
        <w:t>wo of these</w:t>
      </w:r>
      <w:r w:rsidR="003D24B3">
        <w:t xml:space="preserve"> deserve further attention</w:t>
      </w:r>
      <w:r w:rsidR="00CB471D">
        <w:t>.</w:t>
      </w:r>
      <w:r w:rsidR="00061407">
        <w:t xml:space="preserve"> </w:t>
      </w:r>
      <w:r w:rsidR="0087016B">
        <w:t>First, t</w:t>
      </w:r>
      <w:r w:rsidR="00061407">
        <w:t xml:space="preserve">he article’s extended discussion of </w:t>
      </w:r>
      <w:r w:rsidR="00B14071">
        <w:t xml:space="preserve">the economic loss rule of tort law </w:t>
      </w:r>
      <w:r w:rsidR="007E752D">
        <w:t xml:space="preserve">reprises </w:t>
      </w:r>
      <w:r w:rsidR="004C5BA4">
        <w:t>a</w:t>
      </w:r>
      <w:r w:rsidR="003F6268">
        <w:t>n important</w:t>
      </w:r>
      <w:r w:rsidR="004C5BA4">
        <w:t xml:space="preserve"> topic noted in Lesson 11</w:t>
      </w:r>
      <w:r w:rsidR="00D64A8D">
        <w:t xml:space="preserve"> (defective design, materials, and equipment).</w:t>
      </w:r>
      <w:r w:rsidR="00EA5E9D">
        <w:t xml:space="preserve"> </w:t>
      </w:r>
      <w:r w:rsidR="00810222">
        <w:t>Second, the article explains how indemnification principle</w:t>
      </w:r>
      <w:r w:rsidR="00F050E2">
        <w:t>s</w:t>
      </w:r>
      <w:r w:rsidR="00810222">
        <w:t xml:space="preserve"> may reallocate liability between two or more parties. </w:t>
      </w:r>
      <w:r w:rsidR="00412969">
        <w:t xml:space="preserve">Just as with the causation and apportionment </w:t>
      </w:r>
      <w:r w:rsidR="00D902E4">
        <w:t>discussions</w:t>
      </w:r>
      <w:r w:rsidR="00412969">
        <w:t>,</w:t>
      </w:r>
      <w:r w:rsidR="000712A5">
        <w:t xml:space="preserve"> you should </w:t>
      </w:r>
      <w:r w:rsidR="00FE148B">
        <w:t xml:space="preserve">take </w:t>
      </w:r>
      <w:r w:rsidR="00EA622D">
        <w:t xml:space="preserve">special note </w:t>
      </w:r>
      <w:r w:rsidR="00D42C1D">
        <w:t xml:space="preserve">of these </w:t>
      </w:r>
      <w:r w:rsidR="00034013">
        <w:t>topics</w:t>
      </w:r>
      <w:r w:rsidR="00D42C1D">
        <w:t xml:space="preserve"> because </w:t>
      </w:r>
      <w:r w:rsidR="00034013">
        <w:t>they</w:t>
      </w:r>
      <w:r w:rsidR="00DB32CB">
        <w:t xml:space="preserve"> </w:t>
      </w:r>
      <w:r w:rsidR="00CF741D">
        <w:t xml:space="preserve">often present </w:t>
      </w:r>
      <w:r w:rsidR="00034013">
        <w:t>difficult issues</w:t>
      </w:r>
      <w:r w:rsidR="00A01022">
        <w:t>,</w:t>
      </w:r>
      <w:r w:rsidR="00034013">
        <w:t xml:space="preserve"> </w:t>
      </w:r>
      <w:r w:rsidR="00DB32CB">
        <w:t>not only in construction defect cases but</w:t>
      </w:r>
      <w:r w:rsidR="006674FB">
        <w:t xml:space="preserve"> </w:t>
      </w:r>
      <w:r w:rsidR="00DB32CB">
        <w:t>i</w:t>
      </w:r>
      <w:r w:rsidR="006674FB">
        <w:t>n</w:t>
      </w:r>
      <w:r w:rsidR="00D902E4">
        <w:t xml:space="preserve"> </w:t>
      </w:r>
      <w:r w:rsidR="00DB32CB">
        <w:t xml:space="preserve">connection with </w:t>
      </w:r>
      <w:r w:rsidR="00D902E4">
        <w:t xml:space="preserve">many </w:t>
      </w:r>
      <w:r w:rsidR="00DB32CB">
        <w:t xml:space="preserve">other </w:t>
      </w:r>
      <w:r w:rsidR="00D902E4">
        <w:t xml:space="preserve">construction </w:t>
      </w:r>
      <w:r w:rsidR="00170149">
        <w:t>industry disputes</w:t>
      </w:r>
      <w:r w:rsidR="00D902E4">
        <w:t>.</w:t>
      </w:r>
    </w:p>
    <w:p w14:paraId="1A6E59A6" w14:textId="308BDD85" w:rsidR="007D71D1" w:rsidRDefault="006E1D88" w:rsidP="007D71D1">
      <w:pPr>
        <w:spacing w:after="160" w:line="259" w:lineRule="auto"/>
        <w:ind w:firstLine="720"/>
      </w:pPr>
      <w:r>
        <w:t>T</w:t>
      </w:r>
      <w:r w:rsidR="00291A37">
        <w:t xml:space="preserve">he economic loss rule may apply whenever a </w:t>
      </w:r>
      <w:r w:rsidR="00135E29">
        <w:t>claimant</w:t>
      </w:r>
      <w:r w:rsidR="00291A37">
        <w:t xml:space="preserve"> </w:t>
      </w:r>
      <w:r w:rsidR="003E0FB2">
        <w:t>seeks</w:t>
      </w:r>
      <w:r>
        <w:t xml:space="preserve"> to recover</w:t>
      </w:r>
      <w:r w:rsidR="003E0FB2">
        <w:t xml:space="preserve"> damages</w:t>
      </w:r>
      <w:r>
        <w:t xml:space="preserve"> in tort</w:t>
      </w:r>
      <w:r w:rsidR="003E0FB2">
        <w:t xml:space="preserve"> for purely economic loss</w:t>
      </w:r>
      <w:r w:rsidR="00A62AF6">
        <w:t xml:space="preserve">, </w:t>
      </w:r>
      <w:r w:rsidR="00AA6877">
        <w:t xml:space="preserve">such </w:t>
      </w:r>
      <w:r w:rsidR="00A62AF6">
        <w:t>as when</w:t>
      </w:r>
      <w:r w:rsidR="000A1BD1">
        <w:t xml:space="preserve"> an alleged construction defect causes no bodily harm </w:t>
      </w:r>
      <w:r w:rsidR="00A273CA">
        <w:t>and no</w:t>
      </w:r>
      <w:r w:rsidR="000A1BD1">
        <w:t xml:space="preserve"> property damage</w:t>
      </w:r>
      <w:r w:rsidR="00477ABE">
        <w:t xml:space="preserve"> </w:t>
      </w:r>
      <w:r w:rsidR="00DD17D3">
        <w:t>(</w:t>
      </w:r>
      <w:r w:rsidR="00477ABE">
        <w:t>other than</w:t>
      </w:r>
      <w:r w:rsidR="00DD17D3">
        <w:t>, perhaps,</w:t>
      </w:r>
      <w:r w:rsidR="00477ABE">
        <w:t xml:space="preserve"> to the construction work itself</w:t>
      </w:r>
      <w:r w:rsidR="00DD17D3">
        <w:t>)</w:t>
      </w:r>
      <w:r w:rsidR="00477ABE">
        <w:t>.</w:t>
      </w:r>
      <w:r w:rsidR="004C74C2">
        <w:t xml:space="preserve"> </w:t>
      </w:r>
      <w:r w:rsidR="00751EB0">
        <w:t xml:space="preserve">As Lesson 11 noted, and as Schenck and Goss </w:t>
      </w:r>
      <w:r w:rsidR="00EA4153">
        <w:t>explain in much greater detail, the economic loss rule has generated</w:t>
      </w:r>
      <w:r w:rsidR="00162F5B">
        <w:t xml:space="preserve"> inconsistent </w:t>
      </w:r>
      <w:r w:rsidR="006E272B">
        <w:t>judicial results</w:t>
      </w:r>
      <w:r w:rsidR="00F61B43">
        <w:t>,</w:t>
      </w:r>
      <w:r w:rsidR="006E272B">
        <w:t xml:space="preserve"> and</w:t>
      </w:r>
      <w:r w:rsidR="00F61B43">
        <w:t xml:space="preserve"> it</w:t>
      </w:r>
      <w:r w:rsidR="006E272B">
        <w:t xml:space="preserve"> remains the subject of</w:t>
      </w:r>
      <w:r w:rsidR="00EA4153">
        <w:t xml:space="preserve"> </w:t>
      </w:r>
      <w:r w:rsidR="003C1426">
        <w:t>much</w:t>
      </w:r>
      <w:r w:rsidR="00EA4153">
        <w:t xml:space="preserve"> debate </w:t>
      </w:r>
      <w:r w:rsidR="006E272B">
        <w:t>among legal scholars</w:t>
      </w:r>
      <w:r w:rsidR="000A42CD">
        <w:t xml:space="preserve"> and commentators</w:t>
      </w:r>
      <w:r w:rsidR="006E272B">
        <w:t>.</w:t>
      </w:r>
      <w:r w:rsidR="00E7016C">
        <w:t xml:space="preserve"> </w:t>
      </w:r>
      <w:r w:rsidR="00751836">
        <w:t xml:space="preserve">Whether </w:t>
      </w:r>
      <w:r w:rsidR="000F790B">
        <w:t xml:space="preserve">a </w:t>
      </w:r>
      <w:r w:rsidR="008C4F43">
        <w:t>party</w:t>
      </w:r>
      <w:r w:rsidR="000F790B">
        <w:t xml:space="preserve"> raises the</w:t>
      </w:r>
      <w:r w:rsidR="00751836">
        <w:t xml:space="preserve"> economic loss rule</w:t>
      </w:r>
      <w:r w:rsidR="000F790B">
        <w:t xml:space="preserve"> in response to a defect claim or in any other</w:t>
      </w:r>
      <w:r w:rsidR="00751836">
        <w:t xml:space="preserve"> </w:t>
      </w:r>
      <w:r w:rsidR="00D47D73">
        <w:t>circumstance</w:t>
      </w:r>
      <w:r w:rsidR="00B91DBE">
        <w:t xml:space="preserve">, the ultimate policy question is whether </w:t>
      </w:r>
      <w:r w:rsidR="005C3F1C">
        <w:t>the court s</w:t>
      </w:r>
      <w:r w:rsidR="00B91DBE">
        <w:t xml:space="preserve">hould </w:t>
      </w:r>
      <w:r w:rsidR="007B671F">
        <w:t xml:space="preserve">impose </w:t>
      </w:r>
      <w:r w:rsidR="00ED69AB">
        <w:t xml:space="preserve">on the defendant </w:t>
      </w:r>
      <w:r w:rsidR="007B671F">
        <w:t>a</w:t>
      </w:r>
      <w:r w:rsidR="00AF23B8">
        <w:t xml:space="preserve"> tort</w:t>
      </w:r>
      <w:r w:rsidR="007B671F">
        <w:t xml:space="preserve"> duty</w:t>
      </w:r>
      <w:r w:rsidR="00AF23B8">
        <w:t xml:space="preserve"> of</w:t>
      </w:r>
      <w:r w:rsidR="007B671F">
        <w:t xml:space="preserve"> </w:t>
      </w:r>
      <w:r w:rsidR="00ED69AB">
        <w:t>care</w:t>
      </w:r>
      <w:r w:rsidR="007B671F">
        <w:t xml:space="preserve"> to avoid caus</w:t>
      </w:r>
      <w:r w:rsidR="002C5565">
        <w:t>ing</w:t>
      </w:r>
      <w:r w:rsidR="007B671F">
        <w:t xml:space="preserve"> economic harm to the claimant</w:t>
      </w:r>
      <w:r w:rsidR="00182FC6">
        <w:t xml:space="preserve"> </w:t>
      </w:r>
      <w:r w:rsidR="00373BD9">
        <w:t>or should</w:t>
      </w:r>
      <w:r w:rsidR="00182FC6">
        <w:t xml:space="preserve"> only </w:t>
      </w:r>
      <w:r w:rsidR="00673E93">
        <w:lastRenderedPageBreak/>
        <w:t>protect purely economic interests</w:t>
      </w:r>
      <w:r w:rsidR="00C6021B">
        <w:t xml:space="preserve"> to the extent, if any, that a </w:t>
      </w:r>
      <w:r w:rsidR="00AE602E">
        <w:t>contractual relationship between the parties</w:t>
      </w:r>
      <w:r w:rsidR="00CE624D">
        <w:t xml:space="preserve"> creates a relevant obligation</w:t>
      </w:r>
      <w:r w:rsidR="002C5565">
        <w:t>.</w:t>
      </w:r>
      <w:r w:rsidR="00E97C50">
        <w:t xml:space="preserve"> See Jeffrey L. Goodman &amp; Courtnery E.C. Ringhofer, </w:t>
      </w:r>
      <w:r w:rsidR="00E97C50">
        <w:rPr>
          <w:i/>
          <w:iCs/>
        </w:rPr>
        <w:t>Economic Loss Doctrine: An Analysis of the Rule’s Applicability to Design Professionals</w:t>
      </w:r>
      <w:r w:rsidR="00E97C50">
        <w:t xml:space="preserve">, 70 Drake L Rev. 297 (2022); Carl J. Circo, </w:t>
      </w:r>
      <w:r w:rsidR="00E97C50">
        <w:rPr>
          <w:i/>
          <w:iCs/>
        </w:rPr>
        <w:t>Placing the Commercial and Economic Loss Problem in the Construction Industry Context</w:t>
      </w:r>
      <w:r w:rsidR="00E97C50">
        <w:t>, 41 J. Marshall L. Rev. 39 (2007).</w:t>
      </w:r>
    </w:p>
    <w:p w14:paraId="09160A64" w14:textId="3AB2F4F9" w:rsidR="00911DB8" w:rsidRDefault="003D31D7" w:rsidP="007D71D1">
      <w:pPr>
        <w:spacing w:after="160" w:line="259" w:lineRule="auto"/>
        <w:ind w:firstLine="720"/>
      </w:pPr>
      <w:r>
        <w:t>Indemnification, t</w:t>
      </w:r>
      <w:r w:rsidR="00FC3BFE">
        <w:t>he</w:t>
      </w:r>
      <w:r w:rsidR="00092D28">
        <w:t xml:space="preserve"> other topic </w:t>
      </w:r>
      <w:r>
        <w:t xml:space="preserve">of </w:t>
      </w:r>
      <w:r w:rsidR="00EB27AA">
        <w:t xml:space="preserve">especially </w:t>
      </w:r>
      <w:r w:rsidR="002A039B">
        <w:t>broad</w:t>
      </w:r>
      <w:r>
        <w:t xml:space="preserve"> interest</w:t>
      </w:r>
      <w:r w:rsidR="002A039B">
        <w:t xml:space="preserve"> </w:t>
      </w:r>
      <w:r w:rsidR="007058BC">
        <w:t xml:space="preserve">that </w:t>
      </w:r>
      <w:r w:rsidR="00946622">
        <w:t xml:space="preserve">Schenck and Goss </w:t>
      </w:r>
      <w:r w:rsidR="00562794">
        <w:t>cover</w:t>
      </w:r>
      <w:r w:rsidR="007B5BF5">
        <w:t xml:space="preserve"> in detail</w:t>
      </w:r>
      <w:r w:rsidR="005470F0">
        <w:t xml:space="preserve">, </w:t>
      </w:r>
      <w:r w:rsidR="0027542F">
        <w:t>provides</w:t>
      </w:r>
      <w:r w:rsidR="00315024">
        <w:t xml:space="preserve"> a </w:t>
      </w:r>
      <w:r w:rsidR="0027542F">
        <w:t xml:space="preserve">potential reimbursement </w:t>
      </w:r>
      <w:r w:rsidR="004A5ABA">
        <w:t>right</w:t>
      </w:r>
      <w:r w:rsidR="00E569DD">
        <w:t>.</w:t>
      </w:r>
      <w:r w:rsidR="00DB77F4">
        <w:t xml:space="preserve"> In effect, </w:t>
      </w:r>
      <w:r w:rsidR="00447196">
        <w:t xml:space="preserve">a party </w:t>
      </w:r>
      <w:r w:rsidR="009D45BD">
        <w:t>held liable for</w:t>
      </w:r>
      <w:r w:rsidR="00447196">
        <w:t xml:space="preserve"> damages may seek indemnity</w:t>
      </w:r>
      <w:r w:rsidR="00A1511A">
        <w:t xml:space="preserve"> from a</w:t>
      </w:r>
      <w:r w:rsidR="006B3C8B">
        <w:t>nother</w:t>
      </w:r>
      <w:r w:rsidR="00A1511A">
        <w:t xml:space="preserve"> </w:t>
      </w:r>
      <w:r w:rsidR="00F02BA7">
        <w:t>person or entity</w:t>
      </w:r>
      <w:r w:rsidR="00A1511A">
        <w:t xml:space="preserve"> </w:t>
      </w:r>
      <w:r w:rsidR="006B3C8B">
        <w:t xml:space="preserve">who ought to bear </w:t>
      </w:r>
      <w:r w:rsidR="00324DD6">
        <w:t>the loss.</w:t>
      </w:r>
      <w:r w:rsidR="00E569DD">
        <w:t xml:space="preserve"> </w:t>
      </w:r>
      <w:r w:rsidR="005E6D0C">
        <w:t xml:space="preserve">In the construction context, </w:t>
      </w:r>
      <w:r w:rsidR="00AC5204">
        <w:t>damages</w:t>
      </w:r>
      <w:r w:rsidR="009D45BD">
        <w:t xml:space="preserve"> </w:t>
      </w:r>
      <w:r w:rsidR="00AC5204">
        <w:t>ma</w:t>
      </w:r>
      <w:r w:rsidR="00461B9E">
        <w:t xml:space="preserve">y be awarded against one </w:t>
      </w:r>
      <w:r w:rsidR="009716E1">
        <w:t>project participant</w:t>
      </w:r>
      <w:r w:rsidR="00461B9E">
        <w:t xml:space="preserve"> even though one or more other participants</w:t>
      </w:r>
      <w:r w:rsidR="001B7C03">
        <w:t xml:space="preserve"> </w:t>
      </w:r>
      <w:r w:rsidR="00165FE5">
        <w:t xml:space="preserve">may </w:t>
      </w:r>
      <w:r w:rsidR="00C637E3">
        <w:t xml:space="preserve">also </w:t>
      </w:r>
      <w:r w:rsidR="00165FE5">
        <w:t>be legally responsible for those damages.</w:t>
      </w:r>
      <w:r w:rsidR="00C637E3">
        <w:t xml:space="preserve"> </w:t>
      </w:r>
      <w:r w:rsidR="009D45BD">
        <w:t>The underlying claim may be for defective construction, delays, personal injury, property damage or some other loss involving two or more potentia</w:t>
      </w:r>
      <w:r w:rsidR="00912921">
        <w:t>lly liable parties</w:t>
      </w:r>
      <w:r w:rsidR="009D45BD">
        <w:t xml:space="preserve">. </w:t>
      </w:r>
      <w:r w:rsidR="008D44DD">
        <w:t xml:space="preserve">Indemnity may be based on equitable principles </w:t>
      </w:r>
      <w:r w:rsidR="0076097A">
        <w:t xml:space="preserve">that </w:t>
      </w:r>
      <w:r w:rsidR="008D44DD">
        <w:t>determin</w:t>
      </w:r>
      <w:r w:rsidR="0076097A">
        <w:t>e</w:t>
      </w:r>
      <w:r w:rsidR="008D44DD">
        <w:t xml:space="preserve"> which of the parties is more responsible for the damages or on express or implied terms of a contract. </w:t>
      </w:r>
      <w:r w:rsidR="00A967A7">
        <w:t>Because c</w:t>
      </w:r>
      <w:r w:rsidR="009D45BD">
        <w:t>onstruction</w:t>
      </w:r>
      <w:r w:rsidR="006E74C3">
        <w:t xml:space="preserve"> contracts often </w:t>
      </w:r>
      <w:r w:rsidR="00365921">
        <w:t>include express</w:t>
      </w:r>
      <w:r w:rsidR="006E74C3">
        <w:t xml:space="preserve"> indemnification provisions</w:t>
      </w:r>
      <w:r w:rsidR="0074439B">
        <w:t xml:space="preserve"> to shift risk from one participant to another</w:t>
      </w:r>
      <w:r w:rsidR="00A967A7">
        <w:t xml:space="preserve">, contractual indemnity claims are </w:t>
      </w:r>
      <w:r w:rsidR="00D262C5">
        <w:t>particularly</w:t>
      </w:r>
      <w:r w:rsidR="00A967A7">
        <w:t xml:space="preserve"> important in the industry</w:t>
      </w:r>
      <w:r w:rsidR="00B94064">
        <w:t xml:space="preserve">. </w:t>
      </w:r>
      <w:r w:rsidR="005E58CD">
        <w:t>Contractual indemnity provisions</w:t>
      </w:r>
      <w:r w:rsidR="003D0590">
        <w:t xml:space="preserve"> frequently lead</w:t>
      </w:r>
      <w:r w:rsidR="00A967A7">
        <w:t xml:space="preserve"> to</w:t>
      </w:r>
      <w:r w:rsidR="00FE748C">
        <w:t xml:space="preserve"> intense negotiations between the contracting parties. Moreover,</w:t>
      </w:r>
      <w:r w:rsidR="00BC2084">
        <w:t xml:space="preserve"> the interpretation and enforceability of these provisions </w:t>
      </w:r>
      <w:r w:rsidR="00374D0D">
        <w:t>are often subject to judicially imposed policy limits and</w:t>
      </w:r>
      <w:r w:rsidR="00A967A7">
        <w:t xml:space="preserve"> to</w:t>
      </w:r>
      <w:r w:rsidR="00374D0D">
        <w:t xml:space="preserve"> statutory restrictions. </w:t>
      </w:r>
      <w:r w:rsidR="004F4B03">
        <w:t xml:space="preserve">See Phillip L. Bruner &amp; Patrick J. O’Connor, Jr., 3 </w:t>
      </w:r>
      <w:r w:rsidR="004F4B03" w:rsidRPr="001511CC">
        <w:rPr>
          <w:i/>
          <w:iCs/>
        </w:rPr>
        <w:t>Bruner &amp; O’Connor on Construction Law</w:t>
      </w:r>
      <w:r w:rsidR="004F4B03">
        <w:t>, §§ 10:1-10:30 (Westlaw Aug. 2023).</w:t>
      </w:r>
    </w:p>
    <w:p w14:paraId="71302B94" w14:textId="17562C3E" w:rsidR="005874F8" w:rsidRDefault="00AC00E8" w:rsidP="001C2E44">
      <w:pPr>
        <w:spacing w:after="160" w:line="259" w:lineRule="auto"/>
        <w:ind w:firstLine="720"/>
      </w:pPr>
      <w:r>
        <w:t>Beyond the specific matters the two assigned articles cover</w:t>
      </w:r>
      <w:r w:rsidR="001629E1">
        <w:t>,</w:t>
      </w:r>
      <w:r w:rsidR="001C2E44">
        <w:t xml:space="preserve"> </w:t>
      </w:r>
      <w:r w:rsidR="00E95399">
        <w:t>c</w:t>
      </w:r>
      <w:r w:rsidR="00D332DD">
        <w:t>onstruction defect cases</w:t>
      </w:r>
      <w:r w:rsidR="00BC68B4">
        <w:t xml:space="preserve"> </w:t>
      </w:r>
      <w:r w:rsidR="001629E1">
        <w:t xml:space="preserve">present </w:t>
      </w:r>
      <w:r w:rsidR="00832F70">
        <w:t>good opportunities to explore</w:t>
      </w:r>
      <w:r w:rsidR="00B864E1">
        <w:t xml:space="preserve"> </w:t>
      </w:r>
      <w:r w:rsidR="00D91457">
        <w:t>these</w:t>
      </w:r>
      <w:r w:rsidR="00E2053D">
        <w:t xml:space="preserve"> </w:t>
      </w:r>
      <w:r w:rsidR="00D91457">
        <w:t>additional</w:t>
      </w:r>
      <w:r w:rsidR="001F0548">
        <w:t xml:space="preserve"> </w:t>
      </w:r>
      <w:r w:rsidR="009238DF">
        <w:t>issues</w:t>
      </w:r>
      <w:r w:rsidR="005874F8">
        <w:t>:</w:t>
      </w:r>
    </w:p>
    <w:p w14:paraId="6102D58E" w14:textId="0B680A6E" w:rsidR="00567153" w:rsidRDefault="00567153" w:rsidP="002B45F5">
      <w:pPr>
        <w:pStyle w:val="ListParagraph"/>
        <w:numPr>
          <w:ilvl w:val="0"/>
          <w:numId w:val="7"/>
        </w:numPr>
        <w:spacing w:after="160" w:line="259" w:lineRule="auto"/>
      </w:pPr>
      <w:r>
        <w:t>Notice and cure rights</w:t>
      </w:r>
      <w:r w:rsidR="00CA0C75">
        <w:t xml:space="preserve"> - </w:t>
      </w:r>
      <w:r w:rsidR="00A967A7">
        <w:t>As conditions precedent to pursuing</w:t>
      </w:r>
      <w:r w:rsidR="00F0474D">
        <w:t xml:space="preserve"> certain</w:t>
      </w:r>
      <w:r w:rsidR="00A967A7">
        <w:t xml:space="preserve"> remedies, construction contracts often require </w:t>
      </w:r>
      <w:r w:rsidR="002B4C05">
        <w:t>the claimant</w:t>
      </w:r>
      <w:r w:rsidR="00A967A7">
        <w:t xml:space="preserve"> to </w:t>
      </w:r>
      <w:r w:rsidR="003B3766">
        <w:t>give</w:t>
      </w:r>
      <w:r w:rsidR="00A967A7">
        <w:t xml:space="preserve"> the party</w:t>
      </w:r>
      <w:r w:rsidR="004B0587">
        <w:t xml:space="preserve"> allegedly in default</w:t>
      </w:r>
      <w:r w:rsidR="0066007A">
        <w:t xml:space="preserve"> a formal notice</w:t>
      </w:r>
      <w:r w:rsidR="00A967A7">
        <w:t xml:space="preserve"> specifying the </w:t>
      </w:r>
      <w:r w:rsidR="00F04A51">
        <w:t>nature of the default</w:t>
      </w:r>
      <w:r w:rsidR="00A967A7">
        <w:t xml:space="preserve"> and an opportunity to rectify </w:t>
      </w:r>
      <w:r w:rsidR="004C3786">
        <w:t>the problem</w:t>
      </w:r>
      <w:r w:rsidR="00A967A7">
        <w:t>. Judicial attitudes toward these contractual notice and cure</w:t>
      </w:r>
      <w:r w:rsidR="003E17E7">
        <w:t xml:space="preserve"> requirements</w:t>
      </w:r>
      <w:r w:rsidR="00A967A7">
        <w:t xml:space="preserve"> range from relatively relaxed to strict. The litigated cases often present difficult issues of waiver or estoppel against the party insisting on </w:t>
      </w:r>
      <w:r w:rsidR="00373AA4">
        <w:t>contractual notice and cure rights</w:t>
      </w:r>
      <w:r w:rsidR="00A967A7">
        <w:t xml:space="preserve">. </w:t>
      </w:r>
      <w:r w:rsidR="00547E11">
        <w:t xml:space="preserve">In addition to contractual </w:t>
      </w:r>
      <w:r w:rsidR="00E82F5D">
        <w:t>conditions precedent</w:t>
      </w:r>
      <w:r w:rsidR="00547E11">
        <w:t xml:space="preserve">, </w:t>
      </w:r>
      <w:r w:rsidR="00E82F5D">
        <w:t>m</w:t>
      </w:r>
      <w:r w:rsidR="00547E11">
        <w:t xml:space="preserve">any jurisdictions impose statutory notice and cure procedures before a party may commence litigation over an alleged breach of </w:t>
      </w:r>
      <w:r w:rsidR="00B26CEA">
        <w:t xml:space="preserve">a construction </w:t>
      </w:r>
      <w:r w:rsidR="00547E11">
        <w:t xml:space="preserve">contract, especially where a residential owner seeks damages for construction defects. </w:t>
      </w:r>
      <w:r w:rsidR="00830CFA">
        <w:t xml:space="preserve">See Phillip L. Bruner &amp; Patrick J. O’Connor, Jr., </w:t>
      </w:r>
      <w:r w:rsidR="00E95AF4">
        <w:t>5</w:t>
      </w:r>
      <w:r w:rsidR="00830CFA">
        <w:t xml:space="preserve"> </w:t>
      </w:r>
      <w:r w:rsidR="00830CFA" w:rsidRPr="001511CC">
        <w:rPr>
          <w:i/>
          <w:iCs/>
        </w:rPr>
        <w:t>Bruner &amp; O’Connor on Construction Law</w:t>
      </w:r>
      <w:r w:rsidR="00830CFA">
        <w:t>, §</w:t>
      </w:r>
      <w:r w:rsidR="00E95AF4">
        <w:t xml:space="preserve"> 18:15</w:t>
      </w:r>
      <w:r w:rsidR="00830CFA">
        <w:t xml:space="preserve"> (Westlaw Aug. 2023</w:t>
      </w:r>
      <w:r w:rsidR="00E95AF4">
        <w:t>)</w:t>
      </w:r>
      <w:r w:rsidR="00706E7B">
        <w:t xml:space="preserve">; </w:t>
      </w:r>
      <w:r w:rsidR="001E511C">
        <w:t xml:space="preserve">Steven B. Lesser &amp; Ryan F. Carpenter, </w:t>
      </w:r>
      <w:r w:rsidR="001E511C">
        <w:rPr>
          <w:i/>
          <w:iCs/>
        </w:rPr>
        <w:t xml:space="preserve">My </w:t>
      </w:r>
      <w:r w:rsidR="00CC1C11">
        <w:rPr>
          <w:i/>
          <w:iCs/>
        </w:rPr>
        <w:t>Favorite</w:t>
      </w:r>
      <w:r w:rsidR="001E511C">
        <w:rPr>
          <w:i/>
          <w:iCs/>
        </w:rPr>
        <w:t xml:space="preserve"> Mistakes: An </w:t>
      </w:r>
      <w:r w:rsidR="00CC1C11">
        <w:rPr>
          <w:i/>
          <w:iCs/>
        </w:rPr>
        <w:t>Owner’s</w:t>
      </w:r>
      <w:r w:rsidR="001E511C">
        <w:rPr>
          <w:i/>
          <w:iCs/>
        </w:rPr>
        <w:t xml:space="preserve"> Guide to Avo</w:t>
      </w:r>
      <w:r w:rsidR="008B0280">
        <w:rPr>
          <w:i/>
          <w:iCs/>
        </w:rPr>
        <w:t>i</w:t>
      </w:r>
      <w:r w:rsidR="001E511C">
        <w:rPr>
          <w:i/>
          <w:iCs/>
        </w:rPr>
        <w:t>ding Di</w:t>
      </w:r>
      <w:r w:rsidR="00D01B85">
        <w:rPr>
          <w:i/>
          <w:iCs/>
        </w:rPr>
        <w:t>saster on Construction Projects</w:t>
      </w:r>
      <w:r w:rsidR="00D01B85">
        <w:t xml:space="preserve">, 37 Constr. Law. 6, at 10-11 (Spring </w:t>
      </w:r>
      <w:r w:rsidR="008B0280">
        <w:t>2017</w:t>
      </w:r>
      <w:r w:rsidR="00280C7B">
        <w:t>)</w:t>
      </w:r>
      <w:r w:rsidR="00547E11">
        <w:t xml:space="preserve">. </w:t>
      </w:r>
    </w:p>
    <w:p w14:paraId="6D22CD39" w14:textId="57958D2D" w:rsidR="00567153" w:rsidRDefault="00567153" w:rsidP="002B45F5">
      <w:pPr>
        <w:pStyle w:val="ListParagraph"/>
        <w:numPr>
          <w:ilvl w:val="0"/>
          <w:numId w:val="7"/>
        </w:numPr>
        <w:spacing w:after="160" w:line="259" w:lineRule="auto"/>
      </w:pPr>
      <w:r>
        <w:t>Statutes of limitations</w:t>
      </w:r>
      <w:r w:rsidR="00CA0C75">
        <w:t xml:space="preserve"> - </w:t>
      </w:r>
      <w:r w:rsidR="00306FDB">
        <w:t xml:space="preserve">Different statutes of limitation apply to different </w:t>
      </w:r>
      <w:r w:rsidR="00254481">
        <w:t xml:space="preserve">construction industry </w:t>
      </w:r>
      <w:r w:rsidR="00032207">
        <w:t>claims</w:t>
      </w:r>
      <w:r w:rsidR="0086333A">
        <w:t xml:space="preserve"> (negligence, professional malpractice, breach of contract, breach of warranty</w:t>
      </w:r>
      <w:r w:rsidR="00032207">
        <w:t>,</w:t>
      </w:r>
      <w:r w:rsidR="00BA10F5">
        <w:t xml:space="preserve"> misrepresentation, etc.),</w:t>
      </w:r>
      <w:r w:rsidR="00032207">
        <w:t xml:space="preserve"> and t</w:t>
      </w:r>
      <w:r w:rsidR="00547E11">
        <w:t xml:space="preserve">he </w:t>
      </w:r>
      <w:r w:rsidR="00DD21FB">
        <w:t xml:space="preserve">statutes </w:t>
      </w:r>
      <w:r w:rsidR="00547E11">
        <w:t>var</w:t>
      </w:r>
      <w:r w:rsidR="00857327">
        <w:t>y</w:t>
      </w:r>
      <w:r w:rsidR="00547E11">
        <w:t xml:space="preserve"> from one jurisdiction to another</w:t>
      </w:r>
      <w:r w:rsidR="00857327">
        <w:t xml:space="preserve">. </w:t>
      </w:r>
      <w:r w:rsidR="00560B02">
        <w:t>Discovery rules,</w:t>
      </w:r>
      <w:r w:rsidR="00857BFE">
        <w:t xml:space="preserve"> </w:t>
      </w:r>
      <w:r w:rsidR="00B44C1E">
        <w:t>which also vary among jurisdictions</w:t>
      </w:r>
      <w:r w:rsidR="006D42EB">
        <w:t>,</w:t>
      </w:r>
      <w:r w:rsidR="00B44C1E">
        <w:t xml:space="preserve"> </w:t>
      </w:r>
      <w:r w:rsidR="00857BFE">
        <w:t xml:space="preserve">can </w:t>
      </w:r>
      <w:r w:rsidR="00684C31">
        <w:t xml:space="preserve">delay commencement of the limitations period until the plaintiff knows </w:t>
      </w:r>
      <w:r w:rsidR="00844CF1">
        <w:t xml:space="preserve">or </w:t>
      </w:r>
      <w:r w:rsidR="00844CF1">
        <w:lastRenderedPageBreak/>
        <w:t>should be able to discover</w:t>
      </w:r>
      <w:r w:rsidR="00EE338F">
        <w:t xml:space="preserve"> the</w:t>
      </w:r>
      <w:r w:rsidR="00844CF1">
        <w:t xml:space="preserve"> </w:t>
      </w:r>
      <w:r w:rsidR="00B44C1E">
        <w:t>existence of the claim</w:t>
      </w:r>
      <w:r w:rsidR="006D42EB">
        <w:t xml:space="preserve">. </w:t>
      </w:r>
      <w:r w:rsidR="00E60869">
        <w:t>Courts often must decide</w:t>
      </w:r>
      <w:r w:rsidR="00D817DB">
        <w:t xml:space="preserve"> whether or how to apply a discovery rule when </w:t>
      </w:r>
      <w:r w:rsidR="009C2926">
        <w:t>many</w:t>
      </w:r>
      <w:r w:rsidR="00D817DB">
        <w:t xml:space="preserve"> months or years </w:t>
      </w:r>
      <w:r w:rsidR="009C2926">
        <w:t xml:space="preserve">pass </w:t>
      </w:r>
      <w:r w:rsidR="000D4145">
        <w:t>before</w:t>
      </w:r>
      <w:r w:rsidR="0054493A">
        <w:t xml:space="preserve"> </w:t>
      </w:r>
      <w:r w:rsidR="008C0CEB">
        <w:t xml:space="preserve">damage or injury from the defect </w:t>
      </w:r>
      <w:r w:rsidR="0054493A">
        <w:t>manifest</w:t>
      </w:r>
      <w:r w:rsidR="000D4145">
        <w:t>s</w:t>
      </w:r>
      <w:r w:rsidR="0054493A">
        <w:t>.</w:t>
      </w:r>
      <w:r w:rsidR="008846C3">
        <w:t xml:space="preserve"> </w:t>
      </w:r>
      <w:r w:rsidR="00280C7B">
        <w:t xml:space="preserve">See Phillip L. Bruner &amp; Patrick J. O’Connor, Jr., 2A </w:t>
      </w:r>
      <w:r w:rsidR="00280C7B" w:rsidRPr="001511CC">
        <w:rPr>
          <w:i/>
          <w:iCs/>
        </w:rPr>
        <w:t>Bruner &amp; O’Connor on Construction Law</w:t>
      </w:r>
      <w:r w:rsidR="00280C7B">
        <w:t>, § 7:30 (Westlaw Aug. 2023).</w:t>
      </w:r>
    </w:p>
    <w:p w14:paraId="720DBA71" w14:textId="6848DCC9" w:rsidR="00567153" w:rsidRDefault="00567153" w:rsidP="002B45F5">
      <w:pPr>
        <w:pStyle w:val="ListParagraph"/>
        <w:numPr>
          <w:ilvl w:val="0"/>
          <w:numId w:val="7"/>
        </w:numPr>
        <w:spacing w:after="160" w:line="259" w:lineRule="auto"/>
      </w:pPr>
      <w:r>
        <w:t>Statutes of repose</w:t>
      </w:r>
      <w:r w:rsidR="00CA0C75">
        <w:t xml:space="preserve"> - </w:t>
      </w:r>
      <w:r w:rsidR="00631633">
        <w:t>These statutes</w:t>
      </w:r>
      <w:r w:rsidR="00AB6099">
        <w:t xml:space="preserve">, which </w:t>
      </w:r>
      <w:r w:rsidR="004A6A41">
        <w:t>most state legislatures have enacted,</w:t>
      </w:r>
      <w:r w:rsidR="005435C8">
        <w:t xml:space="preserve"> take a</w:t>
      </w:r>
      <w:r w:rsidR="008823F9">
        <w:t xml:space="preserve"> different approach to </w:t>
      </w:r>
      <w:r w:rsidR="006B3E99">
        <w:t>avoiding</w:t>
      </w:r>
      <w:r w:rsidR="008823F9">
        <w:t xml:space="preserve"> stale</w:t>
      </w:r>
      <w:r w:rsidR="001F007F">
        <w:t xml:space="preserve"> construction </w:t>
      </w:r>
      <w:r w:rsidR="008823F9">
        <w:t>claims</w:t>
      </w:r>
      <w:r w:rsidR="00CF41A8">
        <w:t>. They</w:t>
      </w:r>
      <w:r w:rsidR="00CE0833">
        <w:t xml:space="preserve"> </w:t>
      </w:r>
      <w:r w:rsidR="00E321C8">
        <w:t>impos</w:t>
      </w:r>
      <w:r w:rsidR="00CF41A8">
        <w:t>e</w:t>
      </w:r>
      <w:r w:rsidR="00E321C8">
        <w:t xml:space="preserve"> a deadline</w:t>
      </w:r>
      <w:r w:rsidR="002C18FD">
        <w:t xml:space="preserve"> measured from</w:t>
      </w:r>
      <w:r w:rsidR="00F80F75">
        <w:t xml:space="preserve"> a </w:t>
      </w:r>
      <w:r w:rsidR="005815AC">
        <w:t>specified triggering event</w:t>
      </w:r>
      <w:r w:rsidR="009F32AB">
        <w:t xml:space="preserve">, typically the date </w:t>
      </w:r>
      <w:r w:rsidR="00974332">
        <w:t xml:space="preserve">when </w:t>
      </w:r>
      <w:r w:rsidR="00DD2F1C">
        <w:t>construction was</w:t>
      </w:r>
      <w:r w:rsidR="00657A54">
        <w:t xml:space="preserve"> complet</w:t>
      </w:r>
      <w:r w:rsidR="00DD2F1C">
        <w:t>ed</w:t>
      </w:r>
      <w:r w:rsidR="00657A54">
        <w:t xml:space="preserve"> or</w:t>
      </w:r>
      <w:r w:rsidR="009F32AB">
        <w:t xml:space="preserve"> substantial</w:t>
      </w:r>
      <w:r w:rsidR="00DD2F1C">
        <w:t>ly</w:t>
      </w:r>
      <w:r w:rsidR="009F32AB">
        <w:t xml:space="preserve"> complet</w:t>
      </w:r>
      <w:r w:rsidR="00DD2F1C">
        <w:t>ed</w:t>
      </w:r>
      <w:r w:rsidR="00432A35">
        <w:t xml:space="preserve"> or </w:t>
      </w:r>
      <w:r w:rsidR="00744BFF">
        <w:t>upon completion of</w:t>
      </w:r>
      <w:r w:rsidR="00432A35">
        <w:t xml:space="preserve"> the relevant contractual duties</w:t>
      </w:r>
      <w:r w:rsidR="000F40BA">
        <w:t>.</w:t>
      </w:r>
      <w:r w:rsidR="00AB60E8">
        <w:t xml:space="preserve"> </w:t>
      </w:r>
      <w:r w:rsidR="00D86130">
        <w:t>O</w:t>
      </w:r>
      <w:r w:rsidR="00633B47">
        <w:t xml:space="preserve">nce the </w:t>
      </w:r>
      <w:r w:rsidR="00C86B95">
        <w:t>cutoff date</w:t>
      </w:r>
      <w:r w:rsidR="002F3DD3">
        <w:t xml:space="preserve"> has passed, </w:t>
      </w:r>
      <w:r w:rsidR="007931E4">
        <w:t>with only limited exceptions</w:t>
      </w:r>
      <w:r w:rsidR="00754D44">
        <w:t xml:space="preserve">, </w:t>
      </w:r>
      <w:r w:rsidR="002F3DD3">
        <w:t xml:space="preserve">no claim or cause of action relating to </w:t>
      </w:r>
      <w:r w:rsidR="002C1282">
        <w:t xml:space="preserve">matters </w:t>
      </w:r>
      <w:r w:rsidR="00D86130">
        <w:t xml:space="preserve">within the scope of </w:t>
      </w:r>
      <w:r w:rsidR="002C1282">
        <w:t>the statute</w:t>
      </w:r>
      <w:r w:rsidR="002C2E85">
        <w:t xml:space="preserve"> can arise or accrue.</w:t>
      </w:r>
      <w:r w:rsidR="00957316">
        <w:t xml:space="preserve"> </w:t>
      </w:r>
      <w:r w:rsidR="00DF1153">
        <w:t>With respect to defects in design, materials,</w:t>
      </w:r>
      <w:r w:rsidR="001B4FC6">
        <w:t xml:space="preserve"> equipment, or construction, the</w:t>
      </w:r>
      <w:r w:rsidR="00957316">
        <w:t xml:space="preserve"> statutory bar</w:t>
      </w:r>
      <w:r w:rsidR="004A5B6A">
        <w:t xml:space="preserve"> generally</w:t>
      </w:r>
      <w:r w:rsidR="00957316">
        <w:t xml:space="preserve"> </w:t>
      </w:r>
      <w:r w:rsidR="001356A5">
        <w:t xml:space="preserve">precludes recovery even </w:t>
      </w:r>
      <w:r w:rsidR="0032750A">
        <w:t>if the prospective plaintiff has</w:t>
      </w:r>
      <w:r w:rsidR="005360EA">
        <w:t xml:space="preserve"> not yet</w:t>
      </w:r>
      <w:r w:rsidR="0032750A">
        <w:t xml:space="preserve"> suffered </w:t>
      </w:r>
      <w:r w:rsidR="005360EA">
        <w:t>any</w:t>
      </w:r>
      <w:r w:rsidR="0032750A">
        <w:t xml:space="preserve"> injury or damage</w:t>
      </w:r>
      <w:r w:rsidR="000C0591">
        <w:t xml:space="preserve"> and has no reason to know of a potential problem.</w:t>
      </w:r>
      <w:r w:rsidR="008557A7">
        <w:t xml:space="preserve"> I</w:t>
      </w:r>
      <w:r w:rsidR="00C50A0A">
        <w:t>n theory a</w:t>
      </w:r>
      <w:r w:rsidR="00D47CC0">
        <w:t xml:space="preserve"> statute of repose </w:t>
      </w:r>
      <w:r w:rsidR="00603636">
        <w:t>set</w:t>
      </w:r>
      <w:r w:rsidR="00C63AB9">
        <w:t>s</w:t>
      </w:r>
      <w:r w:rsidR="00603636">
        <w:t xml:space="preserve"> a</w:t>
      </w:r>
      <w:r w:rsidR="008557A7">
        <w:t>n objectively</w:t>
      </w:r>
      <w:r w:rsidR="00E80ADD">
        <w:t xml:space="preserve"> determinable</w:t>
      </w:r>
      <w:r w:rsidR="00603636">
        <w:t xml:space="preserve"> </w:t>
      </w:r>
      <w:r w:rsidR="00C86B95">
        <w:t>deadline,</w:t>
      </w:r>
      <w:r w:rsidR="00E80ADD">
        <w:t xml:space="preserve"> but</w:t>
      </w:r>
      <w:r w:rsidR="00C86B95">
        <w:t xml:space="preserve"> </w:t>
      </w:r>
      <w:r w:rsidR="006E5B4B">
        <w:t>circumstances</w:t>
      </w:r>
      <w:r w:rsidR="00B4025F">
        <w:t xml:space="preserve"> sometimes create doubt about</w:t>
      </w:r>
      <w:r w:rsidR="00232B81">
        <w:t xml:space="preserve"> the</w:t>
      </w:r>
      <w:r w:rsidR="00B4025F">
        <w:t xml:space="preserve"> precise date </w:t>
      </w:r>
      <w:r w:rsidR="00DA7E2E">
        <w:t>that commences the</w:t>
      </w:r>
      <w:r w:rsidR="003A37CB">
        <w:t xml:space="preserve"> period</w:t>
      </w:r>
      <w:r w:rsidR="00DA7E2E">
        <w:t xml:space="preserve"> of repose</w:t>
      </w:r>
      <w:r w:rsidR="00B91311">
        <w:t>.</w:t>
      </w:r>
      <w:r w:rsidR="00C63AB9">
        <w:t xml:space="preserve"> </w:t>
      </w:r>
      <w:r w:rsidR="00280C7B">
        <w:t xml:space="preserve">See Phillip L. Bruner &amp; Patrick J. O’Connor, Jr., 2A </w:t>
      </w:r>
      <w:r w:rsidR="00280C7B" w:rsidRPr="001511CC">
        <w:rPr>
          <w:i/>
          <w:iCs/>
        </w:rPr>
        <w:t>Bruner &amp; O’Connor on Construction Law</w:t>
      </w:r>
      <w:r w:rsidR="00280C7B">
        <w:t>, § 7:29 (Westlaw Aug. 2023)</w:t>
      </w:r>
      <w:r w:rsidR="004B7F45">
        <w:t>.</w:t>
      </w:r>
    </w:p>
    <w:p w14:paraId="18F99519" w14:textId="61E4DA7C" w:rsidR="002B45F5" w:rsidRDefault="00F817D0" w:rsidP="002B45F5">
      <w:pPr>
        <w:pStyle w:val="ListParagraph"/>
        <w:numPr>
          <w:ilvl w:val="0"/>
          <w:numId w:val="7"/>
        </w:numPr>
        <w:spacing w:after="160" w:line="259" w:lineRule="auto"/>
      </w:pPr>
      <w:r>
        <w:t>Insurance coverage issues</w:t>
      </w:r>
      <w:r w:rsidR="00CA0C75">
        <w:t xml:space="preserve"> - </w:t>
      </w:r>
      <w:r w:rsidR="007251F6">
        <w:t xml:space="preserve">Construction defect claims often present complex </w:t>
      </w:r>
      <w:r w:rsidR="00EF29B4">
        <w:t>insurance coverage</w:t>
      </w:r>
      <w:r w:rsidR="008A3F4B">
        <w:t xml:space="preserve"> questions</w:t>
      </w:r>
      <w:r w:rsidR="00FD15F3">
        <w:t>, especially under commercial general liability</w:t>
      </w:r>
      <w:r w:rsidR="00796B9B">
        <w:t xml:space="preserve"> (CGL)</w:t>
      </w:r>
      <w:r w:rsidR="00FD15F3">
        <w:t xml:space="preserve"> policies.</w:t>
      </w:r>
      <w:r w:rsidR="00796B9B">
        <w:t xml:space="preserve"> </w:t>
      </w:r>
      <w:r w:rsidR="005E7D7A">
        <w:t>One of the most frequently litigated questions is whether</w:t>
      </w:r>
      <w:r w:rsidR="00537BDE">
        <w:t xml:space="preserve"> a</w:t>
      </w:r>
      <w:r w:rsidR="00F1144E">
        <w:t xml:space="preserve"> CGL policy </w:t>
      </w:r>
      <w:r w:rsidR="00F55E69">
        <w:t xml:space="preserve">affords coverage when a construction defect </w:t>
      </w:r>
      <w:r w:rsidR="00FD6FF6">
        <w:t xml:space="preserve">affects </w:t>
      </w:r>
      <w:r w:rsidR="00CE4E86">
        <w:t>the construction project itself</w:t>
      </w:r>
      <w:r w:rsidR="00FD6FF6">
        <w:t xml:space="preserve"> without caus</w:t>
      </w:r>
      <w:r w:rsidR="00FF4EBD">
        <w:t>ing</w:t>
      </w:r>
      <w:r w:rsidR="00FD6FF6">
        <w:t xml:space="preserve"> </w:t>
      </w:r>
      <w:r w:rsidR="00D92A64">
        <w:t xml:space="preserve">bodily </w:t>
      </w:r>
      <w:r w:rsidR="00FF4EBD">
        <w:t>injury</w:t>
      </w:r>
      <w:r w:rsidR="00D92A64">
        <w:t xml:space="preserve"> or </w:t>
      </w:r>
      <w:r w:rsidR="00FF4EBD">
        <w:t xml:space="preserve">property </w:t>
      </w:r>
      <w:r w:rsidR="00D92A64">
        <w:t xml:space="preserve">damage to other property. </w:t>
      </w:r>
      <w:r w:rsidR="0059435D">
        <w:t xml:space="preserve">For example, is the construction defect itself “property damage,” and </w:t>
      </w:r>
      <w:r w:rsidR="00ED70CA">
        <w:t xml:space="preserve">is defective construction </w:t>
      </w:r>
      <w:r w:rsidR="0014695B">
        <w:t xml:space="preserve">an accidental </w:t>
      </w:r>
      <w:r w:rsidR="00A04BBF">
        <w:t>“</w:t>
      </w:r>
      <w:r w:rsidR="0014695B">
        <w:t>occurrence</w:t>
      </w:r>
      <w:r w:rsidR="00A04BBF">
        <w:t>” as the policy uses those terms</w:t>
      </w:r>
      <w:r w:rsidR="0014695B">
        <w:t>?</w:t>
      </w:r>
      <w:r w:rsidR="007578A0">
        <w:t xml:space="preserve"> </w:t>
      </w:r>
      <w:r w:rsidR="005D23D9">
        <w:t xml:space="preserve">Conflicting judicial </w:t>
      </w:r>
      <w:r w:rsidR="00214AD4">
        <w:t xml:space="preserve">and legislative approaches, along with evolving insurance policy </w:t>
      </w:r>
      <w:r w:rsidR="007E7F9E">
        <w:t>language, have generated a string of controversies over t</w:t>
      </w:r>
      <w:r w:rsidR="005D23D9">
        <w:t>hese, and similar coverage questions relating to construction defects</w:t>
      </w:r>
      <w:r w:rsidR="00555B04">
        <w:t xml:space="preserve"> </w:t>
      </w:r>
      <w:r w:rsidR="004B7F45">
        <w:t xml:space="preserve">See Phillip L. Bruner &amp; Patrick J. O’Connor, Jr., 4Pt1 </w:t>
      </w:r>
      <w:r w:rsidR="004B7F45" w:rsidRPr="001511CC">
        <w:rPr>
          <w:i/>
          <w:iCs/>
        </w:rPr>
        <w:t>Bruner &amp; O’Connor on Construction Law</w:t>
      </w:r>
      <w:r w:rsidR="004B7F45">
        <w:t>, §§ 1</w:t>
      </w:r>
      <w:r w:rsidR="00BF2EC4">
        <w:t>1:200-11:263</w:t>
      </w:r>
      <w:r w:rsidR="004B7F45">
        <w:t xml:space="preserve"> (Westlaw Aug. 2023)</w:t>
      </w:r>
      <w:r w:rsidR="00BF2EC4">
        <w:t>.</w:t>
      </w:r>
    </w:p>
    <w:p w14:paraId="4CDD6139" w14:textId="6ECB5A2A" w:rsidR="006F51B0" w:rsidRDefault="00845E16" w:rsidP="002B45F5">
      <w:pPr>
        <w:pStyle w:val="ListParagraph"/>
        <w:numPr>
          <w:ilvl w:val="0"/>
          <w:numId w:val="7"/>
        </w:numPr>
        <w:spacing w:after="160" w:line="259" w:lineRule="auto"/>
      </w:pPr>
      <w:r>
        <w:t>W</w:t>
      </w:r>
      <w:r w:rsidR="006F51B0">
        <w:t>arrant</w:t>
      </w:r>
      <w:r>
        <w:t>y issues</w:t>
      </w:r>
      <w:r w:rsidR="00CA0C75">
        <w:t xml:space="preserve"> -</w:t>
      </w:r>
      <w:r w:rsidR="00CE5FE5">
        <w:t xml:space="preserve"> </w:t>
      </w:r>
      <w:r w:rsidR="00E06F60">
        <w:t>Because constructi</w:t>
      </w:r>
      <w:r w:rsidR="008F260F">
        <w:t>on</w:t>
      </w:r>
      <w:r w:rsidR="00E06F60">
        <w:t xml:space="preserve"> </w:t>
      </w:r>
      <w:r w:rsidR="00CA0F36">
        <w:t>activities involve multiple</w:t>
      </w:r>
      <w:r w:rsidR="00CE5FE5">
        <w:t xml:space="preserve"> participants</w:t>
      </w:r>
      <w:r w:rsidR="00E06F60">
        <w:t xml:space="preserve">, </w:t>
      </w:r>
      <w:r w:rsidR="00201D66">
        <w:t xml:space="preserve">defect claims sometimes </w:t>
      </w:r>
      <w:r w:rsidR="00581753">
        <w:t>present</w:t>
      </w:r>
      <w:r w:rsidR="00E245B6">
        <w:t xml:space="preserve"> </w:t>
      </w:r>
      <w:r w:rsidR="00CE69E6">
        <w:t>issues concerning</w:t>
      </w:r>
      <w:r w:rsidR="00581753">
        <w:t xml:space="preserve"> </w:t>
      </w:r>
      <w:r w:rsidR="000451FB">
        <w:t>the</w:t>
      </w:r>
      <w:r w:rsidR="008E7316">
        <w:t xml:space="preserve"> rights and obligations of </w:t>
      </w:r>
      <w:r w:rsidR="0068364E">
        <w:t>different participants based on</w:t>
      </w:r>
      <w:r w:rsidR="00450A08">
        <w:t xml:space="preserve"> the</w:t>
      </w:r>
      <w:r w:rsidR="000451FB">
        <w:t xml:space="preserve"> existence or absence of warranty obligations, express or implied</w:t>
      </w:r>
      <w:r w:rsidR="00581753">
        <w:t xml:space="preserve">. </w:t>
      </w:r>
      <w:r w:rsidR="00AA019C">
        <w:t>Disputes</w:t>
      </w:r>
      <w:r w:rsidR="00343D12">
        <w:t xml:space="preserve"> </w:t>
      </w:r>
      <w:r w:rsidR="00267643">
        <w:t>over</w:t>
      </w:r>
      <w:r w:rsidR="00F50D3D">
        <w:t xml:space="preserve"> contract</w:t>
      </w:r>
      <w:r w:rsidR="001D5B87">
        <w:t>or</w:t>
      </w:r>
      <w:r w:rsidR="00AA019C">
        <w:t xml:space="preserve"> warranties</w:t>
      </w:r>
      <w:r w:rsidR="00F50D3D">
        <w:t>, express</w:t>
      </w:r>
      <w:r w:rsidR="001A29DC">
        <w:t xml:space="preserve"> or implied,</w:t>
      </w:r>
      <w:r w:rsidR="00343D12">
        <w:t xml:space="preserve"> often involve questions about the scope of the warranty or how to interpret the precise warranty language. </w:t>
      </w:r>
      <w:r w:rsidR="00BF2EC4">
        <w:t xml:space="preserve">See Phillip L. Bruner &amp; Patrick J. O’Connor, Jr., 3 </w:t>
      </w:r>
      <w:r w:rsidR="00BF2EC4" w:rsidRPr="001511CC">
        <w:rPr>
          <w:i/>
          <w:iCs/>
        </w:rPr>
        <w:t>Bruner &amp; O’Connor on Construction Law</w:t>
      </w:r>
      <w:r w:rsidR="00BF2EC4">
        <w:t xml:space="preserve">, </w:t>
      </w:r>
      <w:r w:rsidR="00D02E78">
        <w:t xml:space="preserve">§§ 9:61–9:71, 9:76–9:87 </w:t>
      </w:r>
      <w:r w:rsidR="00BF2EC4">
        <w:t>(Westlaw Aug. 2023)</w:t>
      </w:r>
      <w:r w:rsidR="00AA019C">
        <w:t xml:space="preserve">. </w:t>
      </w:r>
      <w:r w:rsidR="0058747B">
        <w:t>T</w:t>
      </w:r>
      <w:r w:rsidR="000E77AE">
        <w:t xml:space="preserve">he Spearin </w:t>
      </w:r>
      <w:r w:rsidR="00C53C9B">
        <w:t>Doctrine</w:t>
      </w:r>
      <w:r w:rsidR="00A403D9">
        <w:t>’s implied warranty also</w:t>
      </w:r>
      <w:r w:rsidR="00C53C9B">
        <w:t xml:space="preserve"> </w:t>
      </w:r>
      <w:r w:rsidR="00845FC4">
        <w:t xml:space="preserve">sometimes </w:t>
      </w:r>
      <w:r w:rsidR="000B3AF4">
        <w:t xml:space="preserve">gives rise to </w:t>
      </w:r>
      <w:r w:rsidR="0078487E">
        <w:t>disputes</w:t>
      </w:r>
      <w:r w:rsidR="000B3AF4">
        <w:t xml:space="preserve">. </w:t>
      </w:r>
      <w:r w:rsidR="006B3F89">
        <w:t>Recall that u</w:t>
      </w:r>
      <w:r w:rsidR="00956D3B">
        <w:t>nder the Spearin Doctrine</w:t>
      </w:r>
      <w:r w:rsidR="00C10CA7">
        <w:t>,</w:t>
      </w:r>
      <w:r w:rsidR="001C600A">
        <w:t xml:space="preserve"> </w:t>
      </w:r>
      <w:r w:rsidR="003D22A7">
        <w:t>a</w:t>
      </w:r>
      <w:r w:rsidR="00D145DC">
        <w:t>n</w:t>
      </w:r>
      <w:r w:rsidR="003D22A7">
        <w:t xml:space="preserve"> </w:t>
      </w:r>
      <w:r w:rsidR="007805AE">
        <w:t xml:space="preserve">owner </w:t>
      </w:r>
      <w:r w:rsidR="00BA06FD">
        <w:t>that</w:t>
      </w:r>
      <w:r w:rsidR="003D22A7">
        <w:t xml:space="preserve"> provides </w:t>
      </w:r>
      <w:r w:rsidR="009E033C">
        <w:t xml:space="preserve">defective </w:t>
      </w:r>
      <w:r w:rsidR="003D22A7">
        <w:t>design specifications</w:t>
      </w:r>
      <w:r w:rsidR="009B26D2">
        <w:t xml:space="preserve"> may be liable</w:t>
      </w:r>
      <w:r w:rsidR="009E033C">
        <w:t xml:space="preserve"> to the contractor for breach of an implied </w:t>
      </w:r>
      <w:r w:rsidR="00CD77EB">
        <w:t>warranty that the design is sufficient for its intended purposes</w:t>
      </w:r>
      <w:r w:rsidR="0080198F">
        <w:t>.</w:t>
      </w:r>
      <w:r w:rsidR="00F14932">
        <w:t xml:space="preserve"> </w:t>
      </w:r>
      <w:r w:rsidR="001C600A">
        <w:t>M</w:t>
      </w:r>
      <w:r w:rsidR="00782EC4">
        <w:t>ost courts</w:t>
      </w:r>
      <w:r w:rsidR="001C600A">
        <w:t>, however,</w:t>
      </w:r>
      <w:r w:rsidR="00782EC4">
        <w:t xml:space="preserve"> decline to imply a corresponding</w:t>
      </w:r>
      <w:r w:rsidR="001C600A">
        <w:t xml:space="preserve"> </w:t>
      </w:r>
      <w:r w:rsidR="00782EC4">
        <w:t>warranty from the design professional to</w:t>
      </w:r>
      <w:r w:rsidR="00DC0EE8">
        <w:t xml:space="preserve"> the </w:t>
      </w:r>
      <w:r w:rsidR="00DC0EE8">
        <w:lastRenderedPageBreak/>
        <w:t xml:space="preserve">owner. As a result, </w:t>
      </w:r>
      <w:r w:rsidR="00755A71">
        <w:t>an</w:t>
      </w:r>
      <w:r w:rsidR="00DC0EE8">
        <w:t xml:space="preserve"> owner</w:t>
      </w:r>
      <w:r w:rsidR="00F61354">
        <w:t xml:space="preserve"> </w:t>
      </w:r>
      <w:r w:rsidR="00E3061A">
        <w:t>may be</w:t>
      </w:r>
      <w:r w:rsidR="00755A71">
        <w:t xml:space="preserve"> liable to </w:t>
      </w:r>
      <w:r w:rsidR="002709DE">
        <w:t>a</w:t>
      </w:r>
      <w:r w:rsidR="00755A71">
        <w:t xml:space="preserve"> contractor for design defects</w:t>
      </w:r>
      <w:r w:rsidR="00EC15FB">
        <w:t xml:space="preserve"> </w:t>
      </w:r>
      <w:r w:rsidR="00E3061A">
        <w:t>but may be unable</w:t>
      </w:r>
      <w:r w:rsidR="00DC0EE8">
        <w:t xml:space="preserve"> </w:t>
      </w:r>
      <w:r w:rsidR="00D0069D">
        <w:t xml:space="preserve">to recover from </w:t>
      </w:r>
      <w:r w:rsidR="004F3A11">
        <w:t xml:space="preserve">the design </w:t>
      </w:r>
      <w:r w:rsidR="003B7811">
        <w:t>professional</w:t>
      </w:r>
      <w:r w:rsidR="001825F4">
        <w:t xml:space="preserve"> for </w:t>
      </w:r>
      <w:r w:rsidR="0065316A">
        <w:t>those</w:t>
      </w:r>
      <w:r w:rsidR="001825F4">
        <w:t xml:space="preserve"> design defects unless the owner can prove breach of</w:t>
      </w:r>
      <w:r w:rsidR="00386328">
        <w:t xml:space="preserve"> the professional standard of care.</w:t>
      </w:r>
      <w:r w:rsidR="009344FD">
        <w:t xml:space="preserve"> </w:t>
      </w:r>
      <w:r w:rsidR="00D81F77">
        <w:t xml:space="preserve">See Phillip L. Bruner &amp; Patrick J. O’Connor, Jr., 3 </w:t>
      </w:r>
      <w:r w:rsidR="00D81F77" w:rsidRPr="001511CC">
        <w:rPr>
          <w:i/>
          <w:iCs/>
        </w:rPr>
        <w:t>Bruner &amp; O’Connor on Construction Law</w:t>
      </w:r>
      <w:r w:rsidR="00D81F77">
        <w:t>, § 9:</w:t>
      </w:r>
      <w:r w:rsidR="00720BE0">
        <w:t xml:space="preserve">98 </w:t>
      </w:r>
      <w:r w:rsidR="00D81F77">
        <w:t>(Westlaw Aug. 2023)</w:t>
      </w:r>
      <w:r w:rsidR="009A08CC">
        <w:t>.</w:t>
      </w:r>
      <w:r w:rsidR="00386328">
        <w:t xml:space="preserve"> </w:t>
      </w:r>
      <w:r w:rsidR="00AB21F4">
        <w:t>A</w:t>
      </w:r>
      <w:r w:rsidR="00B779FE">
        <w:t>nother</w:t>
      </w:r>
      <w:r w:rsidR="005F5A2A">
        <w:t xml:space="preserve"> </w:t>
      </w:r>
      <w:r w:rsidR="00CA63BF">
        <w:t>situation</w:t>
      </w:r>
      <w:r w:rsidR="00C42D68">
        <w:t xml:space="preserve"> </w:t>
      </w:r>
      <w:r w:rsidR="005D1857">
        <w:t xml:space="preserve">sometimes </w:t>
      </w:r>
      <w:r w:rsidR="00C42D68">
        <w:t xml:space="preserve">arises </w:t>
      </w:r>
      <w:r w:rsidR="00E41E0B">
        <w:t>when</w:t>
      </w:r>
      <w:r w:rsidR="00C42D68">
        <w:t xml:space="preserve"> </w:t>
      </w:r>
      <w:r w:rsidR="00777CCB">
        <w:t>a</w:t>
      </w:r>
      <w:r w:rsidR="00087D7E">
        <w:t>n</w:t>
      </w:r>
      <w:r w:rsidR="00777CCB">
        <w:t xml:space="preserve"> implied warranty </w:t>
      </w:r>
      <w:r w:rsidR="00E41E0B">
        <w:t>conflicts with</w:t>
      </w:r>
      <w:r w:rsidR="00777CCB">
        <w:t xml:space="preserve"> a</w:t>
      </w:r>
      <w:r w:rsidR="009D5C06">
        <w:t xml:space="preserve">n express warranty. In </w:t>
      </w:r>
      <w:r w:rsidR="009D5C06" w:rsidRPr="001033B2">
        <w:rPr>
          <w:i/>
          <w:iCs/>
        </w:rPr>
        <w:t>Rhone Poulenc Rorer Pharms. Inc. v. Newman Glass Works</w:t>
      </w:r>
      <w:r w:rsidR="009D5C06" w:rsidRPr="00253B84">
        <w:t>, 112 F.3d 695 (3d Cir. 1997)</w:t>
      </w:r>
      <w:r w:rsidR="009D5C06">
        <w:t>,</w:t>
      </w:r>
      <w:r w:rsidR="000C279F">
        <w:t xml:space="preserve"> </w:t>
      </w:r>
      <w:r w:rsidR="00C301AE">
        <w:t>the plaintiff</w:t>
      </w:r>
      <w:r w:rsidR="000C279F">
        <w:t xml:space="preserve"> contractor</w:t>
      </w:r>
      <w:r w:rsidR="0046606D">
        <w:t xml:space="preserve"> specified</w:t>
      </w:r>
      <w:r w:rsidR="004D4FD5">
        <w:t xml:space="preserve"> the glass</w:t>
      </w:r>
      <w:r w:rsidR="00BA3C8C">
        <w:t xml:space="preserve"> </w:t>
      </w:r>
      <w:r w:rsidR="00C301AE">
        <w:t>the defendant</w:t>
      </w:r>
      <w:r w:rsidR="00305C70">
        <w:t xml:space="preserve"> </w:t>
      </w:r>
      <w:r w:rsidR="00BA3C8C">
        <w:t>subcontractor</w:t>
      </w:r>
      <w:r w:rsidR="00911D97">
        <w:t xml:space="preserve"> was</w:t>
      </w:r>
      <w:r w:rsidR="00BA3C8C">
        <w:t xml:space="preserve"> </w:t>
      </w:r>
      <w:r w:rsidR="00305C70">
        <w:t xml:space="preserve">to supply </w:t>
      </w:r>
      <w:r w:rsidR="00BA3C8C">
        <w:t>and install</w:t>
      </w:r>
      <w:r w:rsidR="00C301AE">
        <w:t>. Under the subcontract, the defendant</w:t>
      </w:r>
      <w:r w:rsidR="00044D7F">
        <w:t xml:space="preserve"> warranted its</w:t>
      </w:r>
      <w:r w:rsidR="00FC5771">
        <w:t xml:space="preserve"> work to be</w:t>
      </w:r>
      <w:r w:rsidR="00BA3C8C">
        <w:t xml:space="preserve"> </w:t>
      </w:r>
      <w:r w:rsidR="00B54C72">
        <w:t>free of defects. A</w:t>
      </w:r>
      <w:r w:rsidR="001E3AF9">
        <w:t>pplying Pennsylvania law,</w:t>
      </w:r>
      <w:r w:rsidR="00B54C72">
        <w:t xml:space="preserve"> the court held the subcontractor liable</w:t>
      </w:r>
      <w:r w:rsidR="00995142">
        <w:t xml:space="preserve"> for defects in the glass</w:t>
      </w:r>
      <w:r w:rsidR="00B54C72">
        <w:t xml:space="preserve"> under the</w:t>
      </w:r>
      <w:r w:rsidR="005713FB" w:rsidRPr="00253B84">
        <w:t xml:space="preserve"> express warrant</w:t>
      </w:r>
      <w:r w:rsidR="005E645E">
        <w:t xml:space="preserve">y </w:t>
      </w:r>
      <w:r w:rsidR="0018183D">
        <w:t>notwithstanding the</w:t>
      </w:r>
      <w:r w:rsidR="005713FB" w:rsidRPr="00253B84">
        <w:t xml:space="preserve"> contractor</w:t>
      </w:r>
      <w:r w:rsidR="00444AD0">
        <w:t xml:space="preserve">’s </w:t>
      </w:r>
      <w:r w:rsidR="0093570F">
        <w:t>implied</w:t>
      </w:r>
      <w:r w:rsidR="00444AD0">
        <w:t xml:space="preserve"> warranty</w:t>
      </w:r>
      <w:r w:rsidR="0093570F">
        <w:t xml:space="preserve"> under the Spearin Doctrine.</w:t>
      </w:r>
    </w:p>
    <w:p w14:paraId="2DE38BA9" w14:textId="77777777" w:rsidR="00A13547" w:rsidRDefault="00A13547" w:rsidP="00A13547">
      <w:r>
        <w:rPr>
          <w:u w:val="single"/>
        </w:rPr>
        <w:t>For Review and Discussion</w:t>
      </w:r>
    </w:p>
    <w:p w14:paraId="0D71A8B7" w14:textId="77777777" w:rsidR="00A13547" w:rsidRDefault="00A13547" w:rsidP="00A13547"/>
    <w:p w14:paraId="42B4D1DB" w14:textId="40D46F53" w:rsidR="00A13547" w:rsidRDefault="000434E4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According to Schenck and Goss, what distinguishes the remedies of contribution and indemnity</w:t>
      </w:r>
      <w:r w:rsidR="008E510B">
        <w:t xml:space="preserve"> in multiple-party defect cases?</w:t>
      </w:r>
    </w:p>
    <w:p w14:paraId="207F14E8" w14:textId="2BE95F42" w:rsidR="00A13547" w:rsidRDefault="00A86F87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W</w:t>
      </w:r>
      <w:r w:rsidR="008E510B">
        <w:t>hat are the mos</w:t>
      </w:r>
      <w:r w:rsidR="002B53D7">
        <w:t xml:space="preserve">t important </w:t>
      </w:r>
      <w:r>
        <w:t>policy considerations</w:t>
      </w:r>
      <w:r w:rsidR="002B53D7">
        <w:t xml:space="preserve"> that </w:t>
      </w:r>
      <w:r w:rsidR="00A20429">
        <w:t>should determine whether</w:t>
      </w:r>
      <w:r w:rsidR="002B53D7">
        <w:t xml:space="preserve"> the economic loss rule </w:t>
      </w:r>
      <w:r w:rsidR="00A20429">
        <w:t>should bar recovery for</w:t>
      </w:r>
      <w:r w:rsidR="00B97C5B">
        <w:t xml:space="preserve"> damages attributable to</w:t>
      </w:r>
      <w:r w:rsidR="002B53D7">
        <w:t xml:space="preserve"> construction defects?</w:t>
      </w:r>
    </w:p>
    <w:p w14:paraId="08826B17" w14:textId="26AA8643" w:rsidR="00E96BA0" w:rsidRDefault="00E96BA0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Read the majority and dissenting opinions in </w:t>
      </w:r>
      <w:r w:rsidRPr="001033B2">
        <w:rPr>
          <w:i/>
          <w:iCs/>
        </w:rPr>
        <w:t>Rhone Poulenc Rorer Pharms. Inc. v. Newman Glass Works</w:t>
      </w:r>
      <w:r w:rsidR="006F3543">
        <w:t xml:space="preserve">. In your view, which opinion </w:t>
      </w:r>
      <w:r w:rsidR="00126083">
        <w:t>provides the stronger arguments</w:t>
      </w:r>
      <w:r w:rsidR="006F3543">
        <w:t>?</w:t>
      </w:r>
    </w:p>
    <w:p w14:paraId="3E409911" w14:textId="04CE33AB" w:rsidR="00A13547" w:rsidRDefault="00AB0C9A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Would the </w:t>
      </w:r>
      <w:r w:rsidR="00C62360">
        <w:t>result</w:t>
      </w:r>
      <w:r w:rsidR="00746232">
        <w:t xml:space="preserve"> in</w:t>
      </w:r>
      <w:r w:rsidR="00B3269A">
        <w:t xml:space="preserve"> </w:t>
      </w:r>
      <w:r w:rsidR="00EC7C96" w:rsidRPr="001033B2">
        <w:rPr>
          <w:i/>
          <w:iCs/>
        </w:rPr>
        <w:t>Rhone Poulenc Rorer Pharms. Inc. v. Newman Glass Works</w:t>
      </w:r>
      <w:r w:rsidR="00746232">
        <w:t xml:space="preserve"> </w:t>
      </w:r>
      <w:r w:rsidR="00276F14">
        <w:t xml:space="preserve">have been in the subcontractor’s favor </w:t>
      </w:r>
      <w:r w:rsidR="00746232">
        <w:t>if the</w:t>
      </w:r>
      <w:r w:rsidR="00C62360">
        <w:t xml:space="preserve"> subcontractor’s</w:t>
      </w:r>
      <w:r w:rsidR="00746232">
        <w:t xml:space="preserve"> </w:t>
      </w:r>
      <w:r w:rsidR="0060127F">
        <w:t>warranty</w:t>
      </w:r>
      <w:r w:rsidR="002F478A">
        <w:t xml:space="preserve"> read as</w:t>
      </w:r>
      <w:r w:rsidR="0060127F">
        <w:t xml:space="preserve"> follow</w:t>
      </w:r>
      <w:r w:rsidR="002F478A">
        <w:t>s</w:t>
      </w:r>
      <w:r w:rsidR="0060127F">
        <w:t xml:space="preserve"> </w:t>
      </w:r>
      <w:r w:rsidR="005E652A">
        <w:t>(based on</w:t>
      </w:r>
      <w:r w:rsidR="00F30E32">
        <w:t xml:space="preserve"> the</w:t>
      </w:r>
      <w:r w:rsidR="005E652A">
        <w:t xml:space="preserve"> warrant</w:t>
      </w:r>
      <w:r w:rsidR="00F30E32">
        <w:t>y</w:t>
      </w:r>
      <w:r w:rsidR="005E652A">
        <w:t xml:space="preserve"> language </w:t>
      </w:r>
      <w:r w:rsidR="00FB6D75">
        <w:t xml:space="preserve">of </w:t>
      </w:r>
      <w:r w:rsidR="008E50BB">
        <w:t xml:space="preserve">Section 3.12 of </w:t>
      </w:r>
      <w:proofErr w:type="spellStart"/>
      <w:r w:rsidR="00FB6D75">
        <w:t>ConsensusDocs</w:t>
      </w:r>
      <w:proofErr w:type="spellEnd"/>
      <w:r w:rsidR="00583FDB">
        <w:t xml:space="preserve"> 755, </w:t>
      </w:r>
      <w:r w:rsidR="00583FDB">
        <w:rPr>
          <w:i/>
          <w:iCs/>
        </w:rPr>
        <w:t>Standard Master Subcontract Agreement between Constructor and Subcontractor</w:t>
      </w:r>
      <w:r w:rsidR="000771BE">
        <w:rPr>
          <w:i/>
          <w:iCs/>
        </w:rPr>
        <w:t xml:space="preserve"> </w:t>
      </w:r>
      <w:r w:rsidR="009D7CC2">
        <w:t>(2019)</w:t>
      </w:r>
      <w:r w:rsidR="00CC4CF4">
        <w:t>)</w:t>
      </w:r>
      <w:r w:rsidR="00521FFE">
        <w:t>?</w:t>
      </w:r>
    </w:p>
    <w:p w14:paraId="4BA681E1" w14:textId="77777777" w:rsidR="00B23075" w:rsidRDefault="00B23075" w:rsidP="00B23075">
      <w:pPr>
        <w:pStyle w:val="ListParagraph"/>
        <w:spacing w:after="160" w:line="259" w:lineRule="auto"/>
      </w:pPr>
    </w:p>
    <w:p w14:paraId="75DC9D53" w14:textId="277C805B" w:rsidR="00B23075" w:rsidRDefault="00B23075" w:rsidP="00D41B96">
      <w:pPr>
        <w:pStyle w:val="ListParagraph"/>
        <w:spacing w:after="160" w:line="259" w:lineRule="auto"/>
        <w:ind w:left="2160"/>
      </w:pPr>
      <w:r>
        <w:t>Subcontractor warrants that all materials and equipment shall be new unless other specified, of good quality, in conformance with the Subcontract Documents, and free from defective workmanship and mat</w:t>
      </w:r>
      <w:r w:rsidR="00523C2C">
        <w:t>erials</w:t>
      </w:r>
      <w:r w:rsidR="00646261">
        <w:t>.</w:t>
      </w:r>
      <w:r w:rsidR="00523C2C">
        <w:t xml:space="preserve"> Upon request by Constructor, Subcontractor shall furnish satisfactory evidence of the quality and type of materials and equipment furnished. Subcontra</w:t>
      </w:r>
      <w:r w:rsidR="008E4184">
        <w:t>c</w:t>
      </w:r>
      <w:r w:rsidR="00523C2C">
        <w:t>tor further warrants that the Subcontract Work</w:t>
      </w:r>
      <w:r w:rsidR="005E652A">
        <w:t xml:space="preserve"> shall be free from material defects not intrinsic in the design or materials required in the Subcontract Documents.</w:t>
      </w:r>
    </w:p>
    <w:p w14:paraId="14078897" w14:textId="77777777" w:rsidR="008E50BB" w:rsidRDefault="008E50BB" w:rsidP="008E50BB">
      <w:pPr>
        <w:pStyle w:val="ListParagraph"/>
        <w:spacing w:before="100" w:beforeAutospacing="1" w:after="160" w:line="259" w:lineRule="auto"/>
      </w:pPr>
    </w:p>
    <w:sectPr w:rsidR="008E5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4FAA" w14:textId="77777777" w:rsidR="00FC2B2A" w:rsidRDefault="00FC2B2A" w:rsidP="007C726E">
      <w:r>
        <w:separator/>
      </w:r>
    </w:p>
  </w:endnote>
  <w:endnote w:type="continuationSeparator" w:id="0">
    <w:p w14:paraId="7F129B97" w14:textId="77777777" w:rsidR="00FC2B2A" w:rsidRDefault="00FC2B2A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>© Carl J. Circo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2156" w14:textId="77777777" w:rsidR="00FC2B2A" w:rsidRDefault="00FC2B2A" w:rsidP="007C726E">
      <w:r>
        <w:separator/>
      </w:r>
    </w:p>
  </w:footnote>
  <w:footnote w:type="continuationSeparator" w:id="0">
    <w:p w14:paraId="2B282BF6" w14:textId="77777777" w:rsidR="00FC2B2A" w:rsidRDefault="00FC2B2A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591BD1EC" w:rsidR="007C726E" w:rsidRDefault="007C726E">
    <w:pPr>
      <w:pStyle w:val="Header"/>
    </w:pPr>
    <w:r>
      <w:t xml:space="preserve">Work-in-progress, </w:t>
    </w:r>
    <w:r w:rsidR="002277DD">
      <w:t>October</w:t>
    </w:r>
    <w:r>
      <w:t xml:space="preserve"> 2024</w:t>
    </w:r>
  </w:p>
  <w:p w14:paraId="4032C77E" w14:textId="77777777" w:rsidR="007C726E" w:rsidRDefault="007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9A1"/>
    <w:multiLevelType w:val="hybridMultilevel"/>
    <w:tmpl w:val="08028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B2E02"/>
    <w:multiLevelType w:val="hybridMultilevel"/>
    <w:tmpl w:val="87A2CE32"/>
    <w:lvl w:ilvl="0" w:tplc="8292A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4D85"/>
    <w:multiLevelType w:val="hybridMultilevel"/>
    <w:tmpl w:val="58646D42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522776">
    <w:abstractNumId w:val="4"/>
  </w:num>
  <w:num w:numId="2" w16cid:durableId="1768116626">
    <w:abstractNumId w:val="0"/>
  </w:num>
  <w:num w:numId="3" w16cid:durableId="735053428">
    <w:abstractNumId w:val="1"/>
  </w:num>
  <w:num w:numId="4" w16cid:durableId="556356856">
    <w:abstractNumId w:val="5"/>
  </w:num>
  <w:num w:numId="5" w16cid:durableId="1596204930">
    <w:abstractNumId w:val="6"/>
  </w:num>
  <w:num w:numId="6" w16cid:durableId="1883244187">
    <w:abstractNumId w:val="3"/>
  </w:num>
  <w:num w:numId="7" w16cid:durableId="43929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2CD4"/>
    <w:rsid w:val="000073FC"/>
    <w:rsid w:val="00012B78"/>
    <w:rsid w:val="00012E87"/>
    <w:rsid w:val="000157A8"/>
    <w:rsid w:val="00015FCE"/>
    <w:rsid w:val="00016CEE"/>
    <w:rsid w:val="000275AE"/>
    <w:rsid w:val="00027EF3"/>
    <w:rsid w:val="0003136E"/>
    <w:rsid w:val="00031F1C"/>
    <w:rsid w:val="00032207"/>
    <w:rsid w:val="00034013"/>
    <w:rsid w:val="00034E49"/>
    <w:rsid w:val="00041522"/>
    <w:rsid w:val="0004208A"/>
    <w:rsid w:val="000434E4"/>
    <w:rsid w:val="00044D7F"/>
    <w:rsid w:val="000451FB"/>
    <w:rsid w:val="00047AFB"/>
    <w:rsid w:val="000510B3"/>
    <w:rsid w:val="0005305E"/>
    <w:rsid w:val="00056231"/>
    <w:rsid w:val="0006039D"/>
    <w:rsid w:val="00061407"/>
    <w:rsid w:val="00063BCF"/>
    <w:rsid w:val="00065BF6"/>
    <w:rsid w:val="00070288"/>
    <w:rsid w:val="000709AD"/>
    <w:rsid w:val="000712A5"/>
    <w:rsid w:val="00074BBB"/>
    <w:rsid w:val="00076397"/>
    <w:rsid w:val="00076579"/>
    <w:rsid w:val="000771BE"/>
    <w:rsid w:val="00080649"/>
    <w:rsid w:val="00086142"/>
    <w:rsid w:val="000864BC"/>
    <w:rsid w:val="00086959"/>
    <w:rsid w:val="00087D7E"/>
    <w:rsid w:val="00090157"/>
    <w:rsid w:val="00090A47"/>
    <w:rsid w:val="00091F5A"/>
    <w:rsid w:val="00092D28"/>
    <w:rsid w:val="00093A04"/>
    <w:rsid w:val="000967BF"/>
    <w:rsid w:val="000A1BD1"/>
    <w:rsid w:val="000A3712"/>
    <w:rsid w:val="000A42CD"/>
    <w:rsid w:val="000A61CE"/>
    <w:rsid w:val="000B08EC"/>
    <w:rsid w:val="000B0ED0"/>
    <w:rsid w:val="000B1316"/>
    <w:rsid w:val="000B3AF4"/>
    <w:rsid w:val="000B61A4"/>
    <w:rsid w:val="000C0591"/>
    <w:rsid w:val="000C279F"/>
    <w:rsid w:val="000C4631"/>
    <w:rsid w:val="000C5610"/>
    <w:rsid w:val="000C65F7"/>
    <w:rsid w:val="000C6C62"/>
    <w:rsid w:val="000C6F9D"/>
    <w:rsid w:val="000C7B67"/>
    <w:rsid w:val="000D00B3"/>
    <w:rsid w:val="000D07E9"/>
    <w:rsid w:val="000D0BB3"/>
    <w:rsid w:val="000D10B1"/>
    <w:rsid w:val="000D38BD"/>
    <w:rsid w:val="000D4145"/>
    <w:rsid w:val="000E1018"/>
    <w:rsid w:val="000E2862"/>
    <w:rsid w:val="000E3099"/>
    <w:rsid w:val="000E77AE"/>
    <w:rsid w:val="000F0508"/>
    <w:rsid w:val="000F3A82"/>
    <w:rsid w:val="000F40BA"/>
    <w:rsid w:val="000F5BD6"/>
    <w:rsid w:val="000F6C39"/>
    <w:rsid w:val="000F790B"/>
    <w:rsid w:val="001013D9"/>
    <w:rsid w:val="001016EA"/>
    <w:rsid w:val="00101D22"/>
    <w:rsid w:val="001033B2"/>
    <w:rsid w:val="001036F5"/>
    <w:rsid w:val="0010448E"/>
    <w:rsid w:val="0010458F"/>
    <w:rsid w:val="00106B73"/>
    <w:rsid w:val="00114F4E"/>
    <w:rsid w:val="00115E3C"/>
    <w:rsid w:val="00115FCC"/>
    <w:rsid w:val="00117698"/>
    <w:rsid w:val="001201EB"/>
    <w:rsid w:val="00121147"/>
    <w:rsid w:val="00121B7E"/>
    <w:rsid w:val="00121EB2"/>
    <w:rsid w:val="00123FCC"/>
    <w:rsid w:val="001249FB"/>
    <w:rsid w:val="00124B41"/>
    <w:rsid w:val="001259B5"/>
    <w:rsid w:val="00126083"/>
    <w:rsid w:val="00126092"/>
    <w:rsid w:val="00126599"/>
    <w:rsid w:val="00126697"/>
    <w:rsid w:val="00126FD9"/>
    <w:rsid w:val="00127589"/>
    <w:rsid w:val="00127805"/>
    <w:rsid w:val="00127AA2"/>
    <w:rsid w:val="00130879"/>
    <w:rsid w:val="001320BB"/>
    <w:rsid w:val="001329E6"/>
    <w:rsid w:val="00133096"/>
    <w:rsid w:val="001337F7"/>
    <w:rsid w:val="001343E4"/>
    <w:rsid w:val="001356A5"/>
    <w:rsid w:val="00135E29"/>
    <w:rsid w:val="0014695B"/>
    <w:rsid w:val="001516E4"/>
    <w:rsid w:val="001522CA"/>
    <w:rsid w:val="0015267D"/>
    <w:rsid w:val="00152945"/>
    <w:rsid w:val="001555CB"/>
    <w:rsid w:val="00160618"/>
    <w:rsid w:val="00161558"/>
    <w:rsid w:val="00162061"/>
    <w:rsid w:val="001629E1"/>
    <w:rsid w:val="00162F5B"/>
    <w:rsid w:val="00165346"/>
    <w:rsid w:val="00165FE5"/>
    <w:rsid w:val="00166E1C"/>
    <w:rsid w:val="00167CE9"/>
    <w:rsid w:val="00170149"/>
    <w:rsid w:val="00171ABC"/>
    <w:rsid w:val="00171FB6"/>
    <w:rsid w:val="0017473C"/>
    <w:rsid w:val="00174822"/>
    <w:rsid w:val="00175113"/>
    <w:rsid w:val="00175370"/>
    <w:rsid w:val="0018183D"/>
    <w:rsid w:val="00181DBD"/>
    <w:rsid w:val="001825F4"/>
    <w:rsid w:val="00182FC6"/>
    <w:rsid w:val="001843C1"/>
    <w:rsid w:val="00186810"/>
    <w:rsid w:val="00191109"/>
    <w:rsid w:val="00191AD1"/>
    <w:rsid w:val="00192416"/>
    <w:rsid w:val="00193379"/>
    <w:rsid w:val="0019572F"/>
    <w:rsid w:val="00195C0D"/>
    <w:rsid w:val="00197BE6"/>
    <w:rsid w:val="001A29DC"/>
    <w:rsid w:val="001A31E5"/>
    <w:rsid w:val="001A49AC"/>
    <w:rsid w:val="001B03C0"/>
    <w:rsid w:val="001B3073"/>
    <w:rsid w:val="001B4FC6"/>
    <w:rsid w:val="001B7C03"/>
    <w:rsid w:val="001C2E44"/>
    <w:rsid w:val="001C2F92"/>
    <w:rsid w:val="001C3735"/>
    <w:rsid w:val="001C600A"/>
    <w:rsid w:val="001C7C29"/>
    <w:rsid w:val="001D5B87"/>
    <w:rsid w:val="001D7A20"/>
    <w:rsid w:val="001E05E8"/>
    <w:rsid w:val="001E0F8C"/>
    <w:rsid w:val="001E2241"/>
    <w:rsid w:val="001E2DAE"/>
    <w:rsid w:val="001E3AF9"/>
    <w:rsid w:val="001E511C"/>
    <w:rsid w:val="001E57BD"/>
    <w:rsid w:val="001E71F9"/>
    <w:rsid w:val="001E78C1"/>
    <w:rsid w:val="001F007F"/>
    <w:rsid w:val="001F0548"/>
    <w:rsid w:val="001F18D5"/>
    <w:rsid w:val="001F206E"/>
    <w:rsid w:val="001F4B71"/>
    <w:rsid w:val="001F4C87"/>
    <w:rsid w:val="001F6768"/>
    <w:rsid w:val="001F7E87"/>
    <w:rsid w:val="002010FE"/>
    <w:rsid w:val="00201D66"/>
    <w:rsid w:val="002134D2"/>
    <w:rsid w:val="00214AD4"/>
    <w:rsid w:val="002156ED"/>
    <w:rsid w:val="00217B9D"/>
    <w:rsid w:val="00221A56"/>
    <w:rsid w:val="0022200D"/>
    <w:rsid w:val="0022546D"/>
    <w:rsid w:val="00225759"/>
    <w:rsid w:val="002277DD"/>
    <w:rsid w:val="00231116"/>
    <w:rsid w:val="00231F9C"/>
    <w:rsid w:val="00232337"/>
    <w:rsid w:val="002324D1"/>
    <w:rsid w:val="00232B81"/>
    <w:rsid w:val="002332B5"/>
    <w:rsid w:val="00236759"/>
    <w:rsid w:val="00236775"/>
    <w:rsid w:val="0024139E"/>
    <w:rsid w:val="00241BE7"/>
    <w:rsid w:val="00251BE1"/>
    <w:rsid w:val="002524C7"/>
    <w:rsid w:val="002526CD"/>
    <w:rsid w:val="00253B84"/>
    <w:rsid w:val="00253C0D"/>
    <w:rsid w:val="00254481"/>
    <w:rsid w:val="00254739"/>
    <w:rsid w:val="00254E6C"/>
    <w:rsid w:val="002557A5"/>
    <w:rsid w:val="00257C2D"/>
    <w:rsid w:val="00265FF0"/>
    <w:rsid w:val="00266117"/>
    <w:rsid w:val="002665C5"/>
    <w:rsid w:val="002669B2"/>
    <w:rsid w:val="002675BA"/>
    <w:rsid w:val="00267643"/>
    <w:rsid w:val="002709DE"/>
    <w:rsid w:val="00273EF7"/>
    <w:rsid w:val="00273F17"/>
    <w:rsid w:val="00274E31"/>
    <w:rsid w:val="00274FA0"/>
    <w:rsid w:val="0027542F"/>
    <w:rsid w:val="002759B9"/>
    <w:rsid w:val="00276255"/>
    <w:rsid w:val="00276F14"/>
    <w:rsid w:val="002805CD"/>
    <w:rsid w:val="002808B5"/>
    <w:rsid w:val="00280C7B"/>
    <w:rsid w:val="0028393D"/>
    <w:rsid w:val="00284257"/>
    <w:rsid w:val="002853D2"/>
    <w:rsid w:val="00287C6F"/>
    <w:rsid w:val="00291166"/>
    <w:rsid w:val="00291A37"/>
    <w:rsid w:val="00293DD6"/>
    <w:rsid w:val="0029485E"/>
    <w:rsid w:val="00297FCC"/>
    <w:rsid w:val="002A039B"/>
    <w:rsid w:val="002A07BD"/>
    <w:rsid w:val="002A4FA2"/>
    <w:rsid w:val="002A573E"/>
    <w:rsid w:val="002A5BE6"/>
    <w:rsid w:val="002B1227"/>
    <w:rsid w:val="002B1A36"/>
    <w:rsid w:val="002B2F25"/>
    <w:rsid w:val="002B301E"/>
    <w:rsid w:val="002B3C14"/>
    <w:rsid w:val="002B45F5"/>
    <w:rsid w:val="002B4C05"/>
    <w:rsid w:val="002B50D3"/>
    <w:rsid w:val="002B51A9"/>
    <w:rsid w:val="002B53D7"/>
    <w:rsid w:val="002C073B"/>
    <w:rsid w:val="002C1282"/>
    <w:rsid w:val="002C18FD"/>
    <w:rsid w:val="002C2E85"/>
    <w:rsid w:val="002C4675"/>
    <w:rsid w:val="002C5565"/>
    <w:rsid w:val="002C6CE0"/>
    <w:rsid w:val="002D0DBD"/>
    <w:rsid w:val="002D2D29"/>
    <w:rsid w:val="002D361E"/>
    <w:rsid w:val="002D3EF8"/>
    <w:rsid w:val="002D667B"/>
    <w:rsid w:val="002E0CC9"/>
    <w:rsid w:val="002E23F3"/>
    <w:rsid w:val="002E3624"/>
    <w:rsid w:val="002E5B6D"/>
    <w:rsid w:val="002F10CC"/>
    <w:rsid w:val="002F2F73"/>
    <w:rsid w:val="002F3DD3"/>
    <w:rsid w:val="002F3EBE"/>
    <w:rsid w:val="002F478A"/>
    <w:rsid w:val="002F48ED"/>
    <w:rsid w:val="002F7FBE"/>
    <w:rsid w:val="00301E96"/>
    <w:rsid w:val="003052BC"/>
    <w:rsid w:val="00305841"/>
    <w:rsid w:val="00305C70"/>
    <w:rsid w:val="003062D7"/>
    <w:rsid w:val="00306FDB"/>
    <w:rsid w:val="003078B4"/>
    <w:rsid w:val="00310488"/>
    <w:rsid w:val="00312FD7"/>
    <w:rsid w:val="00313C12"/>
    <w:rsid w:val="00314404"/>
    <w:rsid w:val="00315024"/>
    <w:rsid w:val="003157BA"/>
    <w:rsid w:val="00316CFE"/>
    <w:rsid w:val="00317C49"/>
    <w:rsid w:val="00317FB4"/>
    <w:rsid w:val="003203BF"/>
    <w:rsid w:val="00322520"/>
    <w:rsid w:val="0032442A"/>
    <w:rsid w:val="00324D32"/>
    <w:rsid w:val="00324DD6"/>
    <w:rsid w:val="003269E9"/>
    <w:rsid w:val="0032750A"/>
    <w:rsid w:val="00330FB2"/>
    <w:rsid w:val="0033550C"/>
    <w:rsid w:val="003355A0"/>
    <w:rsid w:val="003375E7"/>
    <w:rsid w:val="00340587"/>
    <w:rsid w:val="00342AF6"/>
    <w:rsid w:val="00343D12"/>
    <w:rsid w:val="003444A4"/>
    <w:rsid w:val="00345109"/>
    <w:rsid w:val="00347CEC"/>
    <w:rsid w:val="00350FCC"/>
    <w:rsid w:val="00362054"/>
    <w:rsid w:val="00363080"/>
    <w:rsid w:val="00365921"/>
    <w:rsid w:val="00366BF8"/>
    <w:rsid w:val="00373A68"/>
    <w:rsid w:val="00373AA4"/>
    <w:rsid w:val="00373BD9"/>
    <w:rsid w:val="00374BEC"/>
    <w:rsid w:val="00374D0D"/>
    <w:rsid w:val="00375895"/>
    <w:rsid w:val="003767DB"/>
    <w:rsid w:val="00380301"/>
    <w:rsid w:val="00380332"/>
    <w:rsid w:val="0038300F"/>
    <w:rsid w:val="00384FFC"/>
    <w:rsid w:val="00386328"/>
    <w:rsid w:val="00387E66"/>
    <w:rsid w:val="00397A79"/>
    <w:rsid w:val="003A0145"/>
    <w:rsid w:val="003A0C9F"/>
    <w:rsid w:val="003A0D72"/>
    <w:rsid w:val="003A2A17"/>
    <w:rsid w:val="003A2FC6"/>
    <w:rsid w:val="003A37CB"/>
    <w:rsid w:val="003A56A4"/>
    <w:rsid w:val="003A7DAE"/>
    <w:rsid w:val="003B31CB"/>
    <w:rsid w:val="003B3766"/>
    <w:rsid w:val="003B3DF9"/>
    <w:rsid w:val="003B525C"/>
    <w:rsid w:val="003B7811"/>
    <w:rsid w:val="003C04D3"/>
    <w:rsid w:val="003C0A43"/>
    <w:rsid w:val="003C1426"/>
    <w:rsid w:val="003C3490"/>
    <w:rsid w:val="003C37F8"/>
    <w:rsid w:val="003C57D2"/>
    <w:rsid w:val="003C7E62"/>
    <w:rsid w:val="003D0590"/>
    <w:rsid w:val="003D1102"/>
    <w:rsid w:val="003D1217"/>
    <w:rsid w:val="003D22A7"/>
    <w:rsid w:val="003D24B3"/>
    <w:rsid w:val="003D31AA"/>
    <w:rsid w:val="003D31D7"/>
    <w:rsid w:val="003D350B"/>
    <w:rsid w:val="003D4527"/>
    <w:rsid w:val="003D5C11"/>
    <w:rsid w:val="003D69D7"/>
    <w:rsid w:val="003E0FB2"/>
    <w:rsid w:val="003E17E7"/>
    <w:rsid w:val="003E1D5F"/>
    <w:rsid w:val="003E28E5"/>
    <w:rsid w:val="003E2999"/>
    <w:rsid w:val="003E2CC0"/>
    <w:rsid w:val="003E3210"/>
    <w:rsid w:val="003E6850"/>
    <w:rsid w:val="003E777A"/>
    <w:rsid w:val="003F0AD0"/>
    <w:rsid w:val="003F234A"/>
    <w:rsid w:val="003F2D2E"/>
    <w:rsid w:val="003F2E76"/>
    <w:rsid w:val="003F384A"/>
    <w:rsid w:val="003F3AE6"/>
    <w:rsid w:val="003F3EF6"/>
    <w:rsid w:val="003F5E04"/>
    <w:rsid w:val="003F6268"/>
    <w:rsid w:val="003F740E"/>
    <w:rsid w:val="00404609"/>
    <w:rsid w:val="0040512F"/>
    <w:rsid w:val="0040613A"/>
    <w:rsid w:val="00410D7D"/>
    <w:rsid w:val="00411C76"/>
    <w:rsid w:val="00412969"/>
    <w:rsid w:val="00414E82"/>
    <w:rsid w:val="004169BB"/>
    <w:rsid w:val="00422B58"/>
    <w:rsid w:val="00423E7C"/>
    <w:rsid w:val="004248D1"/>
    <w:rsid w:val="00424CD7"/>
    <w:rsid w:val="00425030"/>
    <w:rsid w:val="00426369"/>
    <w:rsid w:val="004264F7"/>
    <w:rsid w:val="00426D85"/>
    <w:rsid w:val="0042724C"/>
    <w:rsid w:val="00427CE3"/>
    <w:rsid w:val="00430307"/>
    <w:rsid w:val="00430311"/>
    <w:rsid w:val="00432A35"/>
    <w:rsid w:val="00432C8C"/>
    <w:rsid w:val="004338D0"/>
    <w:rsid w:val="00435239"/>
    <w:rsid w:val="004422B6"/>
    <w:rsid w:val="004438EA"/>
    <w:rsid w:val="00444AD0"/>
    <w:rsid w:val="00447196"/>
    <w:rsid w:val="0044719B"/>
    <w:rsid w:val="00450A08"/>
    <w:rsid w:val="00451B52"/>
    <w:rsid w:val="004523BB"/>
    <w:rsid w:val="00453CEB"/>
    <w:rsid w:val="00456401"/>
    <w:rsid w:val="004564D2"/>
    <w:rsid w:val="00460F2D"/>
    <w:rsid w:val="00461B9E"/>
    <w:rsid w:val="004620FE"/>
    <w:rsid w:val="00463D70"/>
    <w:rsid w:val="0046606D"/>
    <w:rsid w:val="0046652D"/>
    <w:rsid w:val="00466F66"/>
    <w:rsid w:val="00467DA1"/>
    <w:rsid w:val="00472667"/>
    <w:rsid w:val="00474743"/>
    <w:rsid w:val="004758E1"/>
    <w:rsid w:val="00475B9F"/>
    <w:rsid w:val="00475BF9"/>
    <w:rsid w:val="00476473"/>
    <w:rsid w:val="00476D3D"/>
    <w:rsid w:val="00477ABE"/>
    <w:rsid w:val="0048307E"/>
    <w:rsid w:val="0048491B"/>
    <w:rsid w:val="004863D5"/>
    <w:rsid w:val="00486ACC"/>
    <w:rsid w:val="00493472"/>
    <w:rsid w:val="00496B97"/>
    <w:rsid w:val="004A128D"/>
    <w:rsid w:val="004A18DF"/>
    <w:rsid w:val="004A448E"/>
    <w:rsid w:val="004A5ABA"/>
    <w:rsid w:val="004A5B6A"/>
    <w:rsid w:val="004A640B"/>
    <w:rsid w:val="004A6A41"/>
    <w:rsid w:val="004A7A32"/>
    <w:rsid w:val="004A7FE9"/>
    <w:rsid w:val="004B0587"/>
    <w:rsid w:val="004B0ECB"/>
    <w:rsid w:val="004B12CE"/>
    <w:rsid w:val="004B1B10"/>
    <w:rsid w:val="004B50E5"/>
    <w:rsid w:val="004B6A5F"/>
    <w:rsid w:val="004B6CEE"/>
    <w:rsid w:val="004B7E6D"/>
    <w:rsid w:val="004B7F45"/>
    <w:rsid w:val="004C0FE4"/>
    <w:rsid w:val="004C3077"/>
    <w:rsid w:val="004C3786"/>
    <w:rsid w:val="004C3A31"/>
    <w:rsid w:val="004C3B2E"/>
    <w:rsid w:val="004C5BA4"/>
    <w:rsid w:val="004C6A70"/>
    <w:rsid w:val="004C7086"/>
    <w:rsid w:val="004C74C2"/>
    <w:rsid w:val="004D036E"/>
    <w:rsid w:val="004D0A48"/>
    <w:rsid w:val="004D22A3"/>
    <w:rsid w:val="004D360E"/>
    <w:rsid w:val="004D401E"/>
    <w:rsid w:val="004D4FD5"/>
    <w:rsid w:val="004D585F"/>
    <w:rsid w:val="004D5F53"/>
    <w:rsid w:val="004E0367"/>
    <w:rsid w:val="004E2D23"/>
    <w:rsid w:val="004E38CD"/>
    <w:rsid w:val="004E3CFE"/>
    <w:rsid w:val="004E57C9"/>
    <w:rsid w:val="004E75E3"/>
    <w:rsid w:val="004F12CD"/>
    <w:rsid w:val="004F24A1"/>
    <w:rsid w:val="004F2E60"/>
    <w:rsid w:val="004F34D7"/>
    <w:rsid w:val="004F3A11"/>
    <w:rsid w:val="004F3E1A"/>
    <w:rsid w:val="004F40A7"/>
    <w:rsid w:val="004F4B03"/>
    <w:rsid w:val="004F4B3F"/>
    <w:rsid w:val="004F7D5A"/>
    <w:rsid w:val="005065B6"/>
    <w:rsid w:val="005154BB"/>
    <w:rsid w:val="00521FFE"/>
    <w:rsid w:val="0052346B"/>
    <w:rsid w:val="00523C2C"/>
    <w:rsid w:val="00527EA7"/>
    <w:rsid w:val="0053244C"/>
    <w:rsid w:val="00532779"/>
    <w:rsid w:val="0053295F"/>
    <w:rsid w:val="00533005"/>
    <w:rsid w:val="00535811"/>
    <w:rsid w:val="005360EA"/>
    <w:rsid w:val="00536580"/>
    <w:rsid w:val="00537BDE"/>
    <w:rsid w:val="0054046A"/>
    <w:rsid w:val="00540E8F"/>
    <w:rsid w:val="00541DB4"/>
    <w:rsid w:val="005435C8"/>
    <w:rsid w:val="0054493A"/>
    <w:rsid w:val="005470F0"/>
    <w:rsid w:val="00547E11"/>
    <w:rsid w:val="0055077B"/>
    <w:rsid w:val="0055273A"/>
    <w:rsid w:val="00555B04"/>
    <w:rsid w:val="00557C98"/>
    <w:rsid w:val="00560B02"/>
    <w:rsid w:val="00561025"/>
    <w:rsid w:val="00561D4F"/>
    <w:rsid w:val="005624BD"/>
    <w:rsid w:val="0056257C"/>
    <w:rsid w:val="00562794"/>
    <w:rsid w:val="005629CD"/>
    <w:rsid w:val="0056429F"/>
    <w:rsid w:val="00565F90"/>
    <w:rsid w:val="0056635F"/>
    <w:rsid w:val="00567153"/>
    <w:rsid w:val="0057096E"/>
    <w:rsid w:val="005713FB"/>
    <w:rsid w:val="00577306"/>
    <w:rsid w:val="00580694"/>
    <w:rsid w:val="005815AC"/>
    <w:rsid w:val="00581753"/>
    <w:rsid w:val="00583FDB"/>
    <w:rsid w:val="0058747B"/>
    <w:rsid w:val="005874F8"/>
    <w:rsid w:val="005905DC"/>
    <w:rsid w:val="005916D2"/>
    <w:rsid w:val="00591B7B"/>
    <w:rsid w:val="00593907"/>
    <w:rsid w:val="00593E75"/>
    <w:rsid w:val="0059435D"/>
    <w:rsid w:val="005A0517"/>
    <w:rsid w:val="005A192A"/>
    <w:rsid w:val="005A2847"/>
    <w:rsid w:val="005A47F3"/>
    <w:rsid w:val="005A49B2"/>
    <w:rsid w:val="005A4B4E"/>
    <w:rsid w:val="005A69A5"/>
    <w:rsid w:val="005A7097"/>
    <w:rsid w:val="005B31CF"/>
    <w:rsid w:val="005B4971"/>
    <w:rsid w:val="005C3573"/>
    <w:rsid w:val="005C3F1C"/>
    <w:rsid w:val="005C4A80"/>
    <w:rsid w:val="005C62AA"/>
    <w:rsid w:val="005C6B3E"/>
    <w:rsid w:val="005D1857"/>
    <w:rsid w:val="005D23D9"/>
    <w:rsid w:val="005D2410"/>
    <w:rsid w:val="005D263D"/>
    <w:rsid w:val="005D372A"/>
    <w:rsid w:val="005D39D8"/>
    <w:rsid w:val="005D4BAB"/>
    <w:rsid w:val="005D60FB"/>
    <w:rsid w:val="005D63F0"/>
    <w:rsid w:val="005D6995"/>
    <w:rsid w:val="005E29BF"/>
    <w:rsid w:val="005E2BA0"/>
    <w:rsid w:val="005E364A"/>
    <w:rsid w:val="005E38C4"/>
    <w:rsid w:val="005E4755"/>
    <w:rsid w:val="005E4A8E"/>
    <w:rsid w:val="005E58CD"/>
    <w:rsid w:val="005E645E"/>
    <w:rsid w:val="005E652A"/>
    <w:rsid w:val="005E6D0C"/>
    <w:rsid w:val="005E6DF0"/>
    <w:rsid w:val="005E7197"/>
    <w:rsid w:val="005E7D7A"/>
    <w:rsid w:val="005F5A2A"/>
    <w:rsid w:val="005F6DD7"/>
    <w:rsid w:val="005F7046"/>
    <w:rsid w:val="0060127F"/>
    <w:rsid w:val="00603636"/>
    <w:rsid w:val="00603799"/>
    <w:rsid w:val="0060413C"/>
    <w:rsid w:val="006042DD"/>
    <w:rsid w:val="00604C49"/>
    <w:rsid w:val="006075A4"/>
    <w:rsid w:val="00611FD5"/>
    <w:rsid w:val="006131CA"/>
    <w:rsid w:val="00614A50"/>
    <w:rsid w:val="00615DED"/>
    <w:rsid w:val="00616140"/>
    <w:rsid w:val="0061774D"/>
    <w:rsid w:val="00617BA7"/>
    <w:rsid w:val="00617CBB"/>
    <w:rsid w:val="006230BF"/>
    <w:rsid w:val="006244D0"/>
    <w:rsid w:val="00631568"/>
    <w:rsid w:val="00631633"/>
    <w:rsid w:val="0063344C"/>
    <w:rsid w:val="00633486"/>
    <w:rsid w:val="00633B47"/>
    <w:rsid w:val="006343A8"/>
    <w:rsid w:val="00636106"/>
    <w:rsid w:val="00636828"/>
    <w:rsid w:val="006375EA"/>
    <w:rsid w:val="00642946"/>
    <w:rsid w:val="0064573F"/>
    <w:rsid w:val="006461C7"/>
    <w:rsid w:val="00646261"/>
    <w:rsid w:val="00650C73"/>
    <w:rsid w:val="0065316A"/>
    <w:rsid w:val="006546E1"/>
    <w:rsid w:val="00654ED1"/>
    <w:rsid w:val="006552EE"/>
    <w:rsid w:val="006553BE"/>
    <w:rsid w:val="00656C57"/>
    <w:rsid w:val="00657A54"/>
    <w:rsid w:val="0066007A"/>
    <w:rsid w:val="006611D6"/>
    <w:rsid w:val="00662FD4"/>
    <w:rsid w:val="006654DE"/>
    <w:rsid w:val="006674FB"/>
    <w:rsid w:val="006708FB"/>
    <w:rsid w:val="006737F5"/>
    <w:rsid w:val="00673E93"/>
    <w:rsid w:val="00675CB2"/>
    <w:rsid w:val="0068148D"/>
    <w:rsid w:val="006815EA"/>
    <w:rsid w:val="0068364E"/>
    <w:rsid w:val="006847BA"/>
    <w:rsid w:val="00684C31"/>
    <w:rsid w:val="00685EC9"/>
    <w:rsid w:val="00690372"/>
    <w:rsid w:val="006933E9"/>
    <w:rsid w:val="0069447B"/>
    <w:rsid w:val="00695795"/>
    <w:rsid w:val="00695C26"/>
    <w:rsid w:val="00695C3B"/>
    <w:rsid w:val="006A0B92"/>
    <w:rsid w:val="006A1114"/>
    <w:rsid w:val="006A3160"/>
    <w:rsid w:val="006A76D3"/>
    <w:rsid w:val="006B0C63"/>
    <w:rsid w:val="006B237E"/>
    <w:rsid w:val="006B38A0"/>
    <w:rsid w:val="006B3C8B"/>
    <w:rsid w:val="006B3E99"/>
    <w:rsid w:val="006B3F89"/>
    <w:rsid w:val="006B44E3"/>
    <w:rsid w:val="006B55C8"/>
    <w:rsid w:val="006B746D"/>
    <w:rsid w:val="006B7DAB"/>
    <w:rsid w:val="006C1DB1"/>
    <w:rsid w:val="006C2C07"/>
    <w:rsid w:val="006C2C3E"/>
    <w:rsid w:val="006C4A35"/>
    <w:rsid w:val="006C66EC"/>
    <w:rsid w:val="006C7251"/>
    <w:rsid w:val="006D0B37"/>
    <w:rsid w:val="006D25A6"/>
    <w:rsid w:val="006D331B"/>
    <w:rsid w:val="006D35E4"/>
    <w:rsid w:val="006D42EB"/>
    <w:rsid w:val="006D6693"/>
    <w:rsid w:val="006D6A5C"/>
    <w:rsid w:val="006D6A6D"/>
    <w:rsid w:val="006D6C88"/>
    <w:rsid w:val="006E1D88"/>
    <w:rsid w:val="006E272B"/>
    <w:rsid w:val="006E5B4B"/>
    <w:rsid w:val="006E74C3"/>
    <w:rsid w:val="006F3543"/>
    <w:rsid w:val="006F47CF"/>
    <w:rsid w:val="006F51B0"/>
    <w:rsid w:val="006F54AE"/>
    <w:rsid w:val="006F73FB"/>
    <w:rsid w:val="006F7C1C"/>
    <w:rsid w:val="007058BC"/>
    <w:rsid w:val="00706E7B"/>
    <w:rsid w:val="00707C27"/>
    <w:rsid w:val="00711C2E"/>
    <w:rsid w:val="00714C48"/>
    <w:rsid w:val="00716FA1"/>
    <w:rsid w:val="00720BE0"/>
    <w:rsid w:val="007251F6"/>
    <w:rsid w:val="00725FB3"/>
    <w:rsid w:val="00726F66"/>
    <w:rsid w:val="00730E03"/>
    <w:rsid w:val="00735BF3"/>
    <w:rsid w:val="0073713C"/>
    <w:rsid w:val="007424D0"/>
    <w:rsid w:val="0074300D"/>
    <w:rsid w:val="00743197"/>
    <w:rsid w:val="0074439B"/>
    <w:rsid w:val="00744BFF"/>
    <w:rsid w:val="00745508"/>
    <w:rsid w:val="00745812"/>
    <w:rsid w:val="00746232"/>
    <w:rsid w:val="00750753"/>
    <w:rsid w:val="00751836"/>
    <w:rsid w:val="00751EB0"/>
    <w:rsid w:val="00754014"/>
    <w:rsid w:val="00754D44"/>
    <w:rsid w:val="00755A71"/>
    <w:rsid w:val="007578A0"/>
    <w:rsid w:val="007602B3"/>
    <w:rsid w:val="0076089E"/>
    <w:rsid w:val="0076097A"/>
    <w:rsid w:val="00760A92"/>
    <w:rsid w:val="0076141F"/>
    <w:rsid w:val="007641B8"/>
    <w:rsid w:val="00765F34"/>
    <w:rsid w:val="007666A8"/>
    <w:rsid w:val="007742E9"/>
    <w:rsid w:val="00774E13"/>
    <w:rsid w:val="00774F45"/>
    <w:rsid w:val="00775CC6"/>
    <w:rsid w:val="00777CCB"/>
    <w:rsid w:val="007805AE"/>
    <w:rsid w:val="00781AB5"/>
    <w:rsid w:val="00782AE8"/>
    <w:rsid w:val="00782EC4"/>
    <w:rsid w:val="007832B5"/>
    <w:rsid w:val="0078452A"/>
    <w:rsid w:val="0078487E"/>
    <w:rsid w:val="0078650F"/>
    <w:rsid w:val="00790132"/>
    <w:rsid w:val="00792273"/>
    <w:rsid w:val="007931E4"/>
    <w:rsid w:val="00795D76"/>
    <w:rsid w:val="007963DE"/>
    <w:rsid w:val="00796B9B"/>
    <w:rsid w:val="00797B4C"/>
    <w:rsid w:val="007A03F3"/>
    <w:rsid w:val="007A093F"/>
    <w:rsid w:val="007A13C9"/>
    <w:rsid w:val="007A427C"/>
    <w:rsid w:val="007A5CC7"/>
    <w:rsid w:val="007A67DD"/>
    <w:rsid w:val="007B004F"/>
    <w:rsid w:val="007B061B"/>
    <w:rsid w:val="007B1BF5"/>
    <w:rsid w:val="007B3A4A"/>
    <w:rsid w:val="007B4657"/>
    <w:rsid w:val="007B4F18"/>
    <w:rsid w:val="007B52E9"/>
    <w:rsid w:val="007B5BF5"/>
    <w:rsid w:val="007B671F"/>
    <w:rsid w:val="007C00D4"/>
    <w:rsid w:val="007C2928"/>
    <w:rsid w:val="007C404C"/>
    <w:rsid w:val="007C4527"/>
    <w:rsid w:val="007C55B8"/>
    <w:rsid w:val="007C6574"/>
    <w:rsid w:val="007C726E"/>
    <w:rsid w:val="007D01DF"/>
    <w:rsid w:val="007D13C9"/>
    <w:rsid w:val="007D1C23"/>
    <w:rsid w:val="007D44BD"/>
    <w:rsid w:val="007D712B"/>
    <w:rsid w:val="007D71D1"/>
    <w:rsid w:val="007E0A1B"/>
    <w:rsid w:val="007E22E4"/>
    <w:rsid w:val="007E25E3"/>
    <w:rsid w:val="007E5EEB"/>
    <w:rsid w:val="007E752D"/>
    <w:rsid w:val="007E793C"/>
    <w:rsid w:val="007E7F9E"/>
    <w:rsid w:val="007F030B"/>
    <w:rsid w:val="007F0CB5"/>
    <w:rsid w:val="007F1754"/>
    <w:rsid w:val="007F1B59"/>
    <w:rsid w:val="007F3A31"/>
    <w:rsid w:val="007F3F20"/>
    <w:rsid w:val="007F66A7"/>
    <w:rsid w:val="008001B3"/>
    <w:rsid w:val="0080198F"/>
    <w:rsid w:val="00802AA3"/>
    <w:rsid w:val="00803309"/>
    <w:rsid w:val="00803E49"/>
    <w:rsid w:val="00804504"/>
    <w:rsid w:val="00805CF9"/>
    <w:rsid w:val="008073ED"/>
    <w:rsid w:val="0080744F"/>
    <w:rsid w:val="00810222"/>
    <w:rsid w:val="00811698"/>
    <w:rsid w:val="00812369"/>
    <w:rsid w:val="00812965"/>
    <w:rsid w:val="00813DA5"/>
    <w:rsid w:val="008153F3"/>
    <w:rsid w:val="008154C8"/>
    <w:rsid w:val="0081775D"/>
    <w:rsid w:val="00821324"/>
    <w:rsid w:val="008275BD"/>
    <w:rsid w:val="00830CFA"/>
    <w:rsid w:val="00832F70"/>
    <w:rsid w:val="008343A7"/>
    <w:rsid w:val="00835016"/>
    <w:rsid w:val="0084130E"/>
    <w:rsid w:val="008427E6"/>
    <w:rsid w:val="00843601"/>
    <w:rsid w:val="00844CF1"/>
    <w:rsid w:val="00845D40"/>
    <w:rsid w:val="00845E16"/>
    <w:rsid w:val="00845FC4"/>
    <w:rsid w:val="008465A2"/>
    <w:rsid w:val="00850E2B"/>
    <w:rsid w:val="00854E5F"/>
    <w:rsid w:val="008557A7"/>
    <w:rsid w:val="0085586D"/>
    <w:rsid w:val="00855BE9"/>
    <w:rsid w:val="00855C69"/>
    <w:rsid w:val="00857327"/>
    <w:rsid w:val="00857BFE"/>
    <w:rsid w:val="0086333A"/>
    <w:rsid w:val="0086478F"/>
    <w:rsid w:val="008651D5"/>
    <w:rsid w:val="00867E56"/>
    <w:rsid w:val="0087016B"/>
    <w:rsid w:val="00870C6C"/>
    <w:rsid w:val="0087193E"/>
    <w:rsid w:val="008732D3"/>
    <w:rsid w:val="00874AC0"/>
    <w:rsid w:val="008823F9"/>
    <w:rsid w:val="00882A9D"/>
    <w:rsid w:val="008846C3"/>
    <w:rsid w:val="00886AB6"/>
    <w:rsid w:val="00887CCC"/>
    <w:rsid w:val="0089031D"/>
    <w:rsid w:val="00892A28"/>
    <w:rsid w:val="00894100"/>
    <w:rsid w:val="00896DD1"/>
    <w:rsid w:val="008A010D"/>
    <w:rsid w:val="008A3F4B"/>
    <w:rsid w:val="008A41B5"/>
    <w:rsid w:val="008A5006"/>
    <w:rsid w:val="008A61ED"/>
    <w:rsid w:val="008A6E20"/>
    <w:rsid w:val="008A70C6"/>
    <w:rsid w:val="008A7D38"/>
    <w:rsid w:val="008B025B"/>
    <w:rsid w:val="008B0280"/>
    <w:rsid w:val="008B151F"/>
    <w:rsid w:val="008B42C7"/>
    <w:rsid w:val="008B50C6"/>
    <w:rsid w:val="008C0CEB"/>
    <w:rsid w:val="008C28EA"/>
    <w:rsid w:val="008C4F43"/>
    <w:rsid w:val="008C5CE7"/>
    <w:rsid w:val="008C64BB"/>
    <w:rsid w:val="008C6639"/>
    <w:rsid w:val="008C786B"/>
    <w:rsid w:val="008D0A2B"/>
    <w:rsid w:val="008D21E3"/>
    <w:rsid w:val="008D2EC3"/>
    <w:rsid w:val="008D36E2"/>
    <w:rsid w:val="008D44DD"/>
    <w:rsid w:val="008D6D71"/>
    <w:rsid w:val="008D7434"/>
    <w:rsid w:val="008E0848"/>
    <w:rsid w:val="008E4184"/>
    <w:rsid w:val="008E50BB"/>
    <w:rsid w:val="008E510B"/>
    <w:rsid w:val="008E7316"/>
    <w:rsid w:val="008E7FFE"/>
    <w:rsid w:val="008F1E09"/>
    <w:rsid w:val="008F260F"/>
    <w:rsid w:val="008F62DD"/>
    <w:rsid w:val="008F6F8F"/>
    <w:rsid w:val="008F715B"/>
    <w:rsid w:val="0090137A"/>
    <w:rsid w:val="00902F5A"/>
    <w:rsid w:val="009039DE"/>
    <w:rsid w:val="009041A5"/>
    <w:rsid w:val="00904798"/>
    <w:rsid w:val="00905719"/>
    <w:rsid w:val="009109A0"/>
    <w:rsid w:val="009116F2"/>
    <w:rsid w:val="00911D97"/>
    <w:rsid w:val="00911DB8"/>
    <w:rsid w:val="00912921"/>
    <w:rsid w:val="009129CC"/>
    <w:rsid w:val="009139E3"/>
    <w:rsid w:val="00913D1A"/>
    <w:rsid w:val="009168FD"/>
    <w:rsid w:val="00917DF9"/>
    <w:rsid w:val="00921171"/>
    <w:rsid w:val="009221CF"/>
    <w:rsid w:val="009223CA"/>
    <w:rsid w:val="0092293D"/>
    <w:rsid w:val="00922E51"/>
    <w:rsid w:val="00923673"/>
    <w:rsid w:val="009238DF"/>
    <w:rsid w:val="009242A8"/>
    <w:rsid w:val="0092549D"/>
    <w:rsid w:val="00926AC1"/>
    <w:rsid w:val="00926D61"/>
    <w:rsid w:val="00926F25"/>
    <w:rsid w:val="009273E9"/>
    <w:rsid w:val="00927BD9"/>
    <w:rsid w:val="0093007D"/>
    <w:rsid w:val="00931758"/>
    <w:rsid w:val="0093345A"/>
    <w:rsid w:val="00933A20"/>
    <w:rsid w:val="00933B6B"/>
    <w:rsid w:val="009344FD"/>
    <w:rsid w:val="0093570F"/>
    <w:rsid w:val="00936186"/>
    <w:rsid w:val="009367A8"/>
    <w:rsid w:val="00937646"/>
    <w:rsid w:val="00937945"/>
    <w:rsid w:val="00942910"/>
    <w:rsid w:val="00943D16"/>
    <w:rsid w:val="00946622"/>
    <w:rsid w:val="00946F28"/>
    <w:rsid w:val="00947038"/>
    <w:rsid w:val="009502C8"/>
    <w:rsid w:val="009510C4"/>
    <w:rsid w:val="0095161E"/>
    <w:rsid w:val="009527A0"/>
    <w:rsid w:val="0095669C"/>
    <w:rsid w:val="00956D3B"/>
    <w:rsid w:val="00957316"/>
    <w:rsid w:val="00957D1D"/>
    <w:rsid w:val="00961038"/>
    <w:rsid w:val="00964E92"/>
    <w:rsid w:val="00964FB3"/>
    <w:rsid w:val="00966AF9"/>
    <w:rsid w:val="0096715F"/>
    <w:rsid w:val="00970563"/>
    <w:rsid w:val="009716E1"/>
    <w:rsid w:val="009719BF"/>
    <w:rsid w:val="00974332"/>
    <w:rsid w:val="00974C5A"/>
    <w:rsid w:val="00977A3A"/>
    <w:rsid w:val="00981379"/>
    <w:rsid w:val="00982D07"/>
    <w:rsid w:val="00984B83"/>
    <w:rsid w:val="009859DC"/>
    <w:rsid w:val="0098682D"/>
    <w:rsid w:val="00991083"/>
    <w:rsid w:val="009913D9"/>
    <w:rsid w:val="00994A0F"/>
    <w:rsid w:val="00995142"/>
    <w:rsid w:val="00995836"/>
    <w:rsid w:val="009958B0"/>
    <w:rsid w:val="00995C4D"/>
    <w:rsid w:val="009A08CC"/>
    <w:rsid w:val="009A1E66"/>
    <w:rsid w:val="009A38F0"/>
    <w:rsid w:val="009A3EAD"/>
    <w:rsid w:val="009B0275"/>
    <w:rsid w:val="009B133E"/>
    <w:rsid w:val="009B26D2"/>
    <w:rsid w:val="009C10FF"/>
    <w:rsid w:val="009C2926"/>
    <w:rsid w:val="009C2B01"/>
    <w:rsid w:val="009C3516"/>
    <w:rsid w:val="009C4A20"/>
    <w:rsid w:val="009C55B3"/>
    <w:rsid w:val="009C74DC"/>
    <w:rsid w:val="009D0624"/>
    <w:rsid w:val="009D199C"/>
    <w:rsid w:val="009D45BD"/>
    <w:rsid w:val="009D5C06"/>
    <w:rsid w:val="009D7CC2"/>
    <w:rsid w:val="009E033C"/>
    <w:rsid w:val="009E4FCF"/>
    <w:rsid w:val="009E4FF9"/>
    <w:rsid w:val="009F2A01"/>
    <w:rsid w:val="009F32AB"/>
    <w:rsid w:val="009F389B"/>
    <w:rsid w:val="009F4604"/>
    <w:rsid w:val="009F553B"/>
    <w:rsid w:val="00A01022"/>
    <w:rsid w:val="00A03535"/>
    <w:rsid w:val="00A03F4C"/>
    <w:rsid w:val="00A04BBF"/>
    <w:rsid w:val="00A05DAD"/>
    <w:rsid w:val="00A07EA2"/>
    <w:rsid w:val="00A107CE"/>
    <w:rsid w:val="00A108A0"/>
    <w:rsid w:val="00A11500"/>
    <w:rsid w:val="00A13547"/>
    <w:rsid w:val="00A13912"/>
    <w:rsid w:val="00A149B6"/>
    <w:rsid w:val="00A14E8B"/>
    <w:rsid w:val="00A1511A"/>
    <w:rsid w:val="00A1602C"/>
    <w:rsid w:val="00A20429"/>
    <w:rsid w:val="00A23301"/>
    <w:rsid w:val="00A24AE0"/>
    <w:rsid w:val="00A25224"/>
    <w:rsid w:val="00A254BC"/>
    <w:rsid w:val="00A25A54"/>
    <w:rsid w:val="00A273CA"/>
    <w:rsid w:val="00A34557"/>
    <w:rsid w:val="00A359C6"/>
    <w:rsid w:val="00A35A2B"/>
    <w:rsid w:val="00A364F5"/>
    <w:rsid w:val="00A403D9"/>
    <w:rsid w:val="00A41AAA"/>
    <w:rsid w:val="00A41EA0"/>
    <w:rsid w:val="00A43897"/>
    <w:rsid w:val="00A44E72"/>
    <w:rsid w:val="00A46010"/>
    <w:rsid w:val="00A46134"/>
    <w:rsid w:val="00A465E8"/>
    <w:rsid w:val="00A4774A"/>
    <w:rsid w:val="00A47AC3"/>
    <w:rsid w:val="00A504CB"/>
    <w:rsid w:val="00A51002"/>
    <w:rsid w:val="00A552BD"/>
    <w:rsid w:val="00A55481"/>
    <w:rsid w:val="00A555C3"/>
    <w:rsid w:val="00A56F95"/>
    <w:rsid w:val="00A6049C"/>
    <w:rsid w:val="00A62AF6"/>
    <w:rsid w:val="00A67855"/>
    <w:rsid w:val="00A67AAE"/>
    <w:rsid w:val="00A71BCE"/>
    <w:rsid w:val="00A754DF"/>
    <w:rsid w:val="00A767BD"/>
    <w:rsid w:val="00A817FD"/>
    <w:rsid w:val="00A862A4"/>
    <w:rsid w:val="00A86F87"/>
    <w:rsid w:val="00A906D2"/>
    <w:rsid w:val="00A95117"/>
    <w:rsid w:val="00A967A7"/>
    <w:rsid w:val="00A968F8"/>
    <w:rsid w:val="00AA019C"/>
    <w:rsid w:val="00AA21FC"/>
    <w:rsid w:val="00AA2C4C"/>
    <w:rsid w:val="00AA334E"/>
    <w:rsid w:val="00AA4716"/>
    <w:rsid w:val="00AA55DB"/>
    <w:rsid w:val="00AA61E0"/>
    <w:rsid w:val="00AA6877"/>
    <w:rsid w:val="00AA7F1B"/>
    <w:rsid w:val="00AB0AEC"/>
    <w:rsid w:val="00AB0C9A"/>
    <w:rsid w:val="00AB123B"/>
    <w:rsid w:val="00AB1A4C"/>
    <w:rsid w:val="00AB1E1C"/>
    <w:rsid w:val="00AB21F4"/>
    <w:rsid w:val="00AB32F1"/>
    <w:rsid w:val="00AB4319"/>
    <w:rsid w:val="00AB46CF"/>
    <w:rsid w:val="00AB4AF2"/>
    <w:rsid w:val="00AB5236"/>
    <w:rsid w:val="00AB6099"/>
    <w:rsid w:val="00AB60E8"/>
    <w:rsid w:val="00AB66F2"/>
    <w:rsid w:val="00AC00E8"/>
    <w:rsid w:val="00AC10AA"/>
    <w:rsid w:val="00AC1479"/>
    <w:rsid w:val="00AC231A"/>
    <w:rsid w:val="00AC2A2A"/>
    <w:rsid w:val="00AC5204"/>
    <w:rsid w:val="00AD01B4"/>
    <w:rsid w:val="00AD09BF"/>
    <w:rsid w:val="00AD5A0E"/>
    <w:rsid w:val="00AD6E52"/>
    <w:rsid w:val="00AD7B47"/>
    <w:rsid w:val="00AE0723"/>
    <w:rsid w:val="00AE1DFF"/>
    <w:rsid w:val="00AE2626"/>
    <w:rsid w:val="00AE46DD"/>
    <w:rsid w:val="00AE4D7F"/>
    <w:rsid w:val="00AE5842"/>
    <w:rsid w:val="00AE602E"/>
    <w:rsid w:val="00AE6508"/>
    <w:rsid w:val="00AE78A6"/>
    <w:rsid w:val="00AF1241"/>
    <w:rsid w:val="00AF23B8"/>
    <w:rsid w:val="00AF456B"/>
    <w:rsid w:val="00B0095A"/>
    <w:rsid w:val="00B016C2"/>
    <w:rsid w:val="00B06196"/>
    <w:rsid w:val="00B06D78"/>
    <w:rsid w:val="00B1096E"/>
    <w:rsid w:val="00B10A22"/>
    <w:rsid w:val="00B12322"/>
    <w:rsid w:val="00B13B1D"/>
    <w:rsid w:val="00B14071"/>
    <w:rsid w:val="00B16031"/>
    <w:rsid w:val="00B22F92"/>
    <w:rsid w:val="00B23075"/>
    <w:rsid w:val="00B25AF7"/>
    <w:rsid w:val="00B26CEA"/>
    <w:rsid w:val="00B26EF4"/>
    <w:rsid w:val="00B324EC"/>
    <w:rsid w:val="00B3269A"/>
    <w:rsid w:val="00B333B8"/>
    <w:rsid w:val="00B34EB8"/>
    <w:rsid w:val="00B4025F"/>
    <w:rsid w:val="00B40851"/>
    <w:rsid w:val="00B42AAA"/>
    <w:rsid w:val="00B44489"/>
    <w:rsid w:val="00B44C1E"/>
    <w:rsid w:val="00B4581D"/>
    <w:rsid w:val="00B46B4F"/>
    <w:rsid w:val="00B5371B"/>
    <w:rsid w:val="00B54C72"/>
    <w:rsid w:val="00B5518D"/>
    <w:rsid w:val="00B5521C"/>
    <w:rsid w:val="00B579C0"/>
    <w:rsid w:val="00B61001"/>
    <w:rsid w:val="00B62E2E"/>
    <w:rsid w:val="00B6466B"/>
    <w:rsid w:val="00B64DBD"/>
    <w:rsid w:val="00B65A3A"/>
    <w:rsid w:val="00B65B49"/>
    <w:rsid w:val="00B66E06"/>
    <w:rsid w:val="00B71AE9"/>
    <w:rsid w:val="00B728F5"/>
    <w:rsid w:val="00B72B2E"/>
    <w:rsid w:val="00B75DFC"/>
    <w:rsid w:val="00B7710B"/>
    <w:rsid w:val="00B779D3"/>
    <w:rsid w:val="00B779FE"/>
    <w:rsid w:val="00B80A17"/>
    <w:rsid w:val="00B813D2"/>
    <w:rsid w:val="00B817BD"/>
    <w:rsid w:val="00B835AA"/>
    <w:rsid w:val="00B8443D"/>
    <w:rsid w:val="00B845CF"/>
    <w:rsid w:val="00B847DE"/>
    <w:rsid w:val="00B864E1"/>
    <w:rsid w:val="00B87594"/>
    <w:rsid w:val="00B91311"/>
    <w:rsid w:val="00B91DBE"/>
    <w:rsid w:val="00B91FF6"/>
    <w:rsid w:val="00B93621"/>
    <w:rsid w:val="00B93E62"/>
    <w:rsid w:val="00B94064"/>
    <w:rsid w:val="00B94238"/>
    <w:rsid w:val="00B97C5B"/>
    <w:rsid w:val="00BA06FD"/>
    <w:rsid w:val="00BA0D88"/>
    <w:rsid w:val="00BA10F5"/>
    <w:rsid w:val="00BA2B89"/>
    <w:rsid w:val="00BA3C8C"/>
    <w:rsid w:val="00BB16EC"/>
    <w:rsid w:val="00BB3304"/>
    <w:rsid w:val="00BC10C3"/>
    <w:rsid w:val="00BC179F"/>
    <w:rsid w:val="00BC1E0A"/>
    <w:rsid w:val="00BC2084"/>
    <w:rsid w:val="00BC25C4"/>
    <w:rsid w:val="00BC2996"/>
    <w:rsid w:val="00BC4DF3"/>
    <w:rsid w:val="00BC68B4"/>
    <w:rsid w:val="00BD1799"/>
    <w:rsid w:val="00BD22B5"/>
    <w:rsid w:val="00BD3569"/>
    <w:rsid w:val="00BE0ABA"/>
    <w:rsid w:val="00BE54E7"/>
    <w:rsid w:val="00BE623D"/>
    <w:rsid w:val="00BF1912"/>
    <w:rsid w:val="00BF2EC4"/>
    <w:rsid w:val="00BF3DFF"/>
    <w:rsid w:val="00BF44BB"/>
    <w:rsid w:val="00BF5684"/>
    <w:rsid w:val="00BF7966"/>
    <w:rsid w:val="00BF7FD3"/>
    <w:rsid w:val="00C02AD8"/>
    <w:rsid w:val="00C0332A"/>
    <w:rsid w:val="00C04C29"/>
    <w:rsid w:val="00C073F1"/>
    <w:rsid w:val="00C10CA7"/>
    <w:rsid w:val="00C12A0B"/>
    <w:rsid w:val="00C154A5"/>
    <w:rsid w:val="00C15BAE"/>
    <w:rsid w:val="00C210D4"/>
    <w:rsid w:val="00C27BC9"/>
    <w:rsid w:val="00C301AE"/>
    <w:rsid w:val="00C30FF6"/>
    <w:rsid w:val="00C332F2"/>
    <w:rsid w:val="00C340A9"/>
    <w:rsid w:val="00C351AE"/>
    <w:rsid w:val="00C36522"/>
    <w:rsid w:val="00C37235"/>
    <w:rsid w:val="00C41E41"/>
    <w:rsid w:val="00C42A88"/>
    <w:rsid w:val="00C42D68"/>
    <w:rsid w:val="00C43F4F"/>
    <w:rsid w:val="00C47B46"/>
    <w:rsid w:val="00C50A0A"/>
    <w:rsid w:val="00C51286"/>
    <w:rsid w:val="00C51DBC"/>
    <w:rsid w:val="00C53ACA"/>
    <w:rsid w:val="00C53C0F"/>
    <w:rsid w:val="00C53C9B"/>
    <w:rsid w:val="00C5665F"/>
    <w:rsid w:val="00C57266"/>
    <w:rsid w:val="00C6021B"/>
    <w:rsid w:val="00C6124C"/>
    <w:rsid w:val="00C62360"/>
    <w:rsid w:val="00C637E3"/>
    <w:rsid w:val="00C63AB9"/>
    <w:rsid w:val="00C65FC2"/>
    <w:rsid w:val="00C6674F"/>
    <w:rsid w:val="00C670B4"/>
    <w:rsid w:val="00C702B6"/>
    <w:rsid w:val="00C7158D"/>
    <w:rsid w:val="00C72C5C"/>
    <w:rsid w:val="00C8108E"/>
    <w:rsid w:val="00C8497B"/>
    <w:rsid w:val="00C84E17"/>
    <w:rsid w:val="00C84F4E"/>
    <w:rsid w:val="00C861C1"/>
    <w:rsid w:val="00C86B95"/>
    <w:rsid w:val="00C91732"/>
    <w:rsid w:val="00C920B6"/>
    <w:rsid w:val="00C92EC0"/>
    <w:rsid w:val="00C96540"/>
    <w:rsid w:val="00C97706"/>
    <w:rsid w:val="00CA0C75"/>
    <w:rsid w:val="00CA0F36"/>
    <w:rsid w:val="00CA1D95"/>
    <w:rsid w:val="00CA409F"/>
    <w:rsid w:val="00CA63BF"/>
    <w:rsid w:val="00CB0800"/>
    <w:rsid w:val="00CB11E9"/>
    <w:rsid w:val="00CB1A1D"/>
    <w:rsid w:val="00CB2780"/>
    <w:rsid w:val="00CB2D03"/>
    <w:rsid w:val="00CB2E22"/>
    <w:rsid w:val="00CB2FAA"/>
    <w:rsid w:val="00CB471D"/>
    <w:rsid w:val="00CB7558"/>
    <w:rsid w:val="00CC1189"/>
    <w:rsid w:val="00CC1C11"/>
    <w:rsid w:val="00CC241C"/>
    <w:rsid w:val="00CC2A61"/>
    <w:rsid w:val="00CC347F"/>
    <w:rsid w:val="00CC4587"/>
    <w:rsid w:val="00CC4CEC"/>
    <w:rsid w:val="00CC4CF4"/>
    <w:rsid w:val="00CC530A"/>
    <w:rsid w:val="00CC5BF2"/>
    <w:rsid w:val="00CD4C61"/>
    <w:rsid w:val="00CD6AD5"/>
    <w:rsid w:val="00CD77EB"/>
    <w:rsid w:val="00CE024B"/>
    <w:rsid w:val="00CE0833"/>
    <w:rsid w:val="00CE0B2E"/>
    <w:rsid w:val="00CE1315"/>
    <w:rsid w:val="00CE3863"/>
    <w:rsid w:val="00CE437B"/>
    <w:rsid w:val="00CE4E86"/>
    <w:rsid w:val="00CE5802"/>
    <w:rsid w:val="00CE5FE5"/>
    <w:rsid w:val="00CE624D"/>
    <w:rsid w:val="00CE6810"/>
    <w:rsid w:val="00CE69E6"/>
    <w:rsid w:val="00CF0660"/>
    <w:rsid w:val="00CF06E3"/>
    <w:rsid w:val="00CF0F34"/>
    <w:rsid w:val="00CF1A49"/>
    <w:rsid w:val="00CF41A8"/>
    <w:rsid w:val="00CF5C73"/>
    <w:rsid w:val="00CF684B"/>
    <w:rsid w:val="00CF741D"/>
    <w:rsid w:val="00D0069D"/>
    <w:rsid w:val="00D01238"/>
    <w:rsid w:val="00D01655"/>
    <w:rsid w:val="00D01B85"/>
    <w:rsid w:val="00D02E6A"/>
    <w:rsid w:val="00D02E78"/>
    <w:rsid w:val="00D032CB"/>
    <w:rsid w:val="00D047DC"/>
    <w:rsid w:val="00D0602B"/>
    <w:rsid w:val="00D06FF1"/>
    <w:rsid w:val="00D07BD6"/>
    <w:rsid w:val="00D129B7"/>
    <w:rsid w:val="00D145DC"/>
    <w:rsid w:val="00D163ED"/>
    <w:rsid w:val="00D17B2A"/>
    <w:rsid w:val="00D17E66"/>
    <w:rsid w:val="00D20463"/>
    <w:rsid w:val="00D2421A"/>
    <w:rsid w:val="00D262C5"/>
    <w:rsid w:val="00D30229"/>
    <w:rsid w:val="00D304D6"/>
    <w:rsid w:val="00D30D0E"/>
    <w:rsid w:val="00D332DD"/>
    <w:rsid w:val="00D33D30"/>
    <w:rsid w:val="00D34BF4"/>
    <w:rsid w:val="00D35BE3"/>
    <w:rsid w:val="00D40D46"/>
    <w:rsid w:val="00D40E0D"/>
    <w:rsid w:val="00D41A85"/>
    <w:rsid w:val="00D41B96"/>
    <w:rsid w:val="00D42428"/>
    <w:rsid w:val="00D42C1D"/>
    <w:rsid w:val="00D44208"/>
    <w:rsid w:val="00D448C8"/>
    <w:rsid w:val="00D44DAD"/>
    <w:rsid w:val="00D459A3"/>
    <w:rsid w:val="00D4671F"/>
    <w:rsid w:val="00D47CC0"/>
    <w:rsid w:val="00D47D73"/>
    <w:rsid w:val="00D47FF0"/>
    <w:rsid w:val="00D50869"/>
    <w:rsid w:val="00D50ED2"/>
    <w:rsid w:val="00D53B05"/>
    <w:rsid w:val="00D61EE7"/>
    <w:rsid w:val="00D64A8D"/>
    <w:rsid w:val="00D67E00"/>
    <w:rsid w:val="00D7164E"/>
    <w:rsid w:val="00D72A6F"/>
    <w:rsid w:val="00D72CDC"/>
    <w:rsid w:val="00D72FD3"/>
    <w:rsid w:val="00D73F8E"/>
    <w:rsid w:val="00D74A69"/>
    <w:rsid w:val="00D75CD3"/>
    <w:rsid w:val="00D80C01"/>
    <w:rsid w:val="00D817DB"/>
    <w:rsid w:val="00D81F77"/>
    <w:rsid w:val="00D840CF"/>
    <w:rsid w:val="00D86130"/>
    <w:rsid w:val="00D86AA8"/>
    <w:rsid w:val="00D902E4"/>
    <w:rsid w:val="00D909F7"/>
    <w:rsid w:val="00D91457"/>
    <w:rsid w:val="00D91707"/>
    <w:rsid w:val="00D92A64"/>
    <w:rsid w:val="00D93C09"/>
    <w:rsid w:val="00D94E9E"/>
    <w:rsid w:val="00DA03F8"/>
    <w:rsid w:val="00DA0825"/>
    <w:rsid w:val="00DA6094"/>
    <w:rsid w:val="00DA6EF6"/>
    <w:rsid w:val="00DA76F9"/>
    <w:rsid w:val="00DA7E2E"/>
    <w:rsid w:val="00DB0472"/>
    <w:rsid w:val="00DB32CB"/>
    <w:rsid w:val="00DB352D"/>
    <w:rsid w:val="00DB470C"/>
    <w:rsid w:val="00DB77F4"/>
    <w:rsid w:val="00DB79B3"/>
    <w:rsid w:val="00DB7A71"/>
    <w:rsid w:val="00DC0EE8"/>
    <w:rsid w:val="00DC0FC0"/>
    <w:rsid w:val="00DC187D"/>
    <w:rsid w:val="00DC2BE4"/>
    <w:rsid w:val="00DC430E"/>
    <w:rsid w:val="00DD11DB"/>
    <w:rsid w:val="00DD17D3"/>
    <w:rsid w:val="00DD21FB"/>
    <w:rsid w:val="00DD26F8"/>
    <w:rsid w:val="00DD2F1C"/>
    <w:rsid w:val="00DD487C"/>
    <w:rsid w:val="00DD4C9A"/>
    <w:rsid w:val="00DD680B"/>
    <w:rsid w:val="00DD6FF0"/>
    <w:rsid w:val="00DD7E8E"/>
    <w:rsid w:val="00DE1ABF"/>
    <w:rsid w:val="00DE2634"/>
    <w:rsid w:val="00DE4807"/>
    <w:rsid w:val="00DE5D19"/>
    <w:rsid w:val="00DE653D"/>
    <w:rsid w:val="00DE7CA3"/>
    <w:rsid w:val="00DF0023"/>
    <w:rsid w:val="00DF1153"/>
    <w:rsid w:val="00DF39B4"/>
    <w:rsid w:val="00DF5D20"/>
    <w:rsid w:val="00DF62C0"/>
    <w:rsid w:val="00DF6ACE"/>
    <w:rsid w:val="00E021CC"/>
    <w:rsid w:val="00E05697"/>
    <w:rsid w:val="00E068E8"/>
    <w:rsid w:val="00E06F60"/>
    <w:rsid w:val="00E071BB"/>
    <w:rsid w:val="00E079B1"/>
    <w:rsid w:val="00E10BBA"/>
    <w:rsid w:val="00E150E0"/>
    <w:rsid w:val="00E17513"/>
    <w:rsid w:val="00E175D6"/>
    <w:rsid w:val="00E2053D"/>
    <w:rsid w:val="00E2131E"/>
    <w:rsid w:val="00E2254A"/>
    <w:rsid w:val="00E2299A"/>
    <w:rsid w:val="00E22B9D"/>
    <w:rsid w:val="00E245B6"/>
    <w:rsid w:val="00E2749F"/>
    <w:rsid w:val="00E3061A"/>
    <w:rsid w:val="00E31658"/>
    <w:rsid w:val="00E321C8"/>
    <w:rsid w:val="00E3306E"/>
    <w:rsid w:val="00E364CD"/>
    <w:rsid w:val="00E407F5"/>
    <w:rsid w:val="00E41E0B"/>
    <w:rsid w:val="00E445CB"/>
    <w:rsid w:val="00E46C01"/>
    <w:rsid w:val="00E47397"/>
    <w:rsid w:val="00E54CAF"/>
    <w:rsid w:val="00E54DDF"/>
    <w:rsid w:val="00E5523E"/>
    <w:rsid w:val="00E56157"/>
    <w:rsid w:val="00E569DD"/>
    <w:rsid w:val="00E60869"/>
    <w:rsid w:val="00E61C2C"/>
    <w:rsid w:val="00E6404C"/>
    <w:rsid w:val="00E6469F"/>
    <w:rsid w:val="00E65640"/>
    <w:rsid w:val="00E6655A"/>
    <w:rsid w:val="00E66D16"/>
    <w:rsid w:val="00E675D2"/>
    <w:rsid w:val="00E7016C"/>
    <w:rsid w:val="00E802AB"/>
    <w:rsid w:val="00E8048D"/>
    <w:rsid w:val="00E80ADD"/>
    <w:rsid w:val="00E81030"/>
    <w:rsid w:val="00E81DB2"/>
    <w:rsid w:val="00E82F5D"/>
    <w:rsid w:val="00E85428"/>
    <w:rsid w:val="00E92A80"/>
    <w:rsid w:val="00E9452B"/>
    <w:rsid w:val="00E94EB4"/>
    <w:rsid w:val="00E95399"/>
    <w:rsid w:val="00E953EA"/>
    <w:rsid w:val="00E95AF4"/>
    <w:rsid w:val="00E95ED6"/>
    <w:rsid w:val="00E96BA0"/>
    <w:rsid w:val="00E97C50"/>
    <w:rsid w:val="00EA0261"/>
    <w:rsid w:val="00EA23EF"/>
    <w:rsid w:val="00EA4153"/>
    <w:rsid w:val="00EA4BB7"/>
    <w:rsid w:val="00EA5A53"/>
    <w:rsid w:val="00EA5E9D"/>
    <w:rsid w:val="00EA622D"/>
    <w:rsid w:val="00EA7955"/>
    <w:rsid w:val="00EB27AA"/>
    <w:rsid w:val="00EB2EF4"/>
    <w:rsid w:val="00EB307D"/>
    <w:rsid w:val="00EB4C40"/>
    <w:rsid w:val="00EB63F4"/>
    <w:rsid w:val="00EB79BF"/>
    <w:rsid w:val="00EC15FB"/>
    <w:rsid w:val="00EC1BC8"/>
    <w:rsid w:val="00EC3AC7"/>
    <w:rsid w:val="00EC7C96"/>
    <w:rsid w:val="00ED0B2A"/>
    <w:rsid w:val="00ED69AB"/>
    <w:rsid w:val="00ED70CA"/>
    <w:rsid w:val="00EE338F"/>
    <w:rsid w:val="00EE3902"/>
    <w:rsid w:val="00EE661C"/>
    <w:rsid w:val="00EF29B4"/>
    <w:rsid w:val="00EF2D1C"/>
    <w:rsid w:val="00EF5E33"/>
    <w:rsid w:val="00F02BA7"/>
    <w:rsid w:val="00F02CD9"/>
    <w:rsid w:val="00F0474D"/>
    <w:rsid w:val="00F04A51"/>
    <w:rsid w:val="00F04FA7"/>
    <w:rsid w:val="00F050E2"/>
    <w:rsid w:val="00F06294"/>
    <w:rsid w:val="00F0663F"/>
    <w:rsid w:val="00F1144E"/>
    <w:rsid w:val="00F11E7A"/>
    <w:rsid w:val="00F12401"/>
    <w:rsid w:val="00F14932"/>
    <w:rsid w:val="00F161D9"/>
    <w:rsid w:val="00F1637C"/>
    <w:rsid w:val="00F20AFD"/>
    <w:rsid w:val="00F21A25"/>
    <w:rsid w:val="00F23313"/>
    <w:rsid w:val="00F23C35"/>
    <w:rsid w:val="00F25295"/>
    <w:rsid w:val="00F25FF6"/>
    <w:rsid w:val="00F27EAA"/>
    <w:rsid w:val="00F30E32"/>
    <w:rsid w:val="00F3105E"/>
    <w:rsid w:val="00F3284D"/>
    <w:rsid w:val="00F40986"/>
    <w:rsid w:val="00F4265D"/>
    <w:rsid w:val="00F50D3D"/>
    <w:rsid w:val="00F5183A"/>
    <w:rsid w:val="00F51BC1"/>
    <w:rsid w:val="00F5220D"/>
    <w:rsid w:val="00F5426C"/>
    <w:rsid w:val="00F54D5F"/>
    <w:rsid w:val="00F55E69"/>
    <w:rsid w:val="00F606E8"/>
    <w:rsid w:val="00F61354"/>
    <w:rsid w:val="00F61B43"/>
    <w:rsid w:val="00F61C48"/>
    <w:rsid w:val="00F62A69"/>
    <w:rsid w:val="00F62FAB"/>
    <w:rsid w:val="00F66A26"/>
    <w:rsid w:val="00F66C44"/>
    <w:rsid w:val="00F6786E"/>
    <w:rsid w:val="00F7144D"/>
    <w:rsid w:val="00F7328D"/>
    <w:rsid w:val="00F75152"/>
    <w:rsid w:val="00F75B66"/>
    <w:rsid w:val="00F76EAB"/>
    <w:rsid w:val="00F7778B"/>
    <w:rsid w:val="00F80F75"/>
    <w:rsid w:val="00F817D0"/>
    <w:rsid w:val="00F82187"/>
    <w:rsid w:val="00F83520"/>
    <w:rsid w:val="00F83C56"/>
    <w:rsid w:val="00F84645"/>
    <w:rsid w:val="00F84DC6"/>
    <w:rsid w:val="00F85BAB"/>
    <w:rsid w:val="00F8675E"/>
    <w:rsid w:val="00F91446"/>
    <w:rsid w:val="00F95DA3"/>
    <w:rsid w:val="00F9617E"/>
    <w:rsid w:val="00F97D15"/>
    <w:rsid w:val="00FA1BC1"/>
    <w:rsid w:val="00FA235D"/>
    <w:rsid w:val="00FA2DBB"/>
    <w:rsid w:val="00FA4522"/>
    <w:rsid w:val="00FA47CA"/>
    <w:rsid w:val="00FA4C9B"/>
    <w:rsid w:val="00FA53CB"/>
    <w:rsid w:val="00FB02C1"/>
    <w:rsid w:val="00FB21CB"/>
    <w:rsid w:val="00FB26E8"/>
    <w:rsid w:val="00FB42C8"/>
    <w:rsid w:val="00FB585D"/>
    <w:rsid w:val="00FB5D68"/>
    <w:rsid w:val="00FB69BC"/>
    <w:rsid w:val="00FB6D75"/>
    <w:rsid w:val="00FB79A5"/>
    <w:rsid w:val="00FC2B2A"/>
    <w:rsid w:val="00FC3BFE"/>
    <w:rsid w:val="00FC5666"/>
    <w:rsid w:val="00FC5771"/>
    <w:rsid w:val="00FC6B84"/>
    <w:rsid w:val="00FD0026"/>
    <w:rsid w:val="00FD15F3"/>
    <w:rsid w:val="00FD29DC"/>
    <w:rsid w:val="00FD474E"/>
    <w:rsid w:val="00FD6FF6"/>
    <w:rsid w:val="00FE148B"/>
    <w:rsid w:val="00FE3AA9"/>
    <w:rsid w:val="00FE748C"/>
    <w:rsid w:val="00FF34AD"/>
    <w:rsid w:val="00FF3ED5"/>
    <w:rsid w:val="00FF4EBD"/>
    <w:rsid w:val="00FF65BB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138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03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7843029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451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64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93423586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2024-10-21T16:15:00Z</dcterms:created>
  <dcterms:modified xsi:type="dcterms:W3CDTF">2024-10-21T16:15:00Z</dcterms:modified>
</cp:coreProperties>
</file>