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 xml:space="preserve">Carl J. </w:t>
      </w:r>
      <w:proofErr w:type="spellStart"/>
      <w:r>
        <w:t>Circo</w:t>
      </w:r>
      <w:proofErr w:type="spellEnd"/>
    </w:p>
    <w:p w14:paraId="008B983A" w14:textId="77777777" w:rsidR="007C726E" w:rsidRDefault="007C726E" w:rsidP="007C726E">
      <w:pPr>
        <w:jc w:val="center"/>
      </w:pPr>
    </w:p>
    <w:p w14:paraId="065B9A27" w14:textId="0B7640E2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59098E">
        <w:rPr>
          <w:b/>
          <w:bCs/>
        </w:rPr>
        <w:t>8</w:t>
      </w:r>
      <w:r w:rsidRPr="636C9287">
        <w:rPr>
          <w:b/>
          <w:bCs/>
        </w:rPr>
        <w:t>:</w:t>
      </w:r>
      <w:r w:rsidR="0059098E">
        <w:rPr>
          <w:b/>
          <w:bCs/>
        </w:rPr>
        <w:t xml:space="preserve"> Concealed Conditions</w:t>
      </w:r>
      <w:r w:rsidRPr="636C9287">
        <w:rPr>
          <w:b/>
          <w:bCs/>
        </w:rPr>
        <w:t xml:space="preserve"> </w:t>
      </w:r>
      <w:r w:rsidR="007D2A97">
        <w:rPr>
          <w:b/>
          <w:bCs/>
        </w:rPr>
        <w:t>and Other Anticipated Circumstances</w:t>
      </w:r>
    </w:p>
    <w:p w14:paraId="2951E11C" w14:textId="77777777" w:rsidR="0069766E" w:rsidRDefault="0069766E" w:rsidP="007C726E">
      <w:pPr>
        <w:keepNext/>
        <w:rPr>
          <w:b/>
          <w:bCs/>
        </w:rPr>
      </w:pPr>
    </w:p>
    <w:p w14:paraId="37B014D4" w14:textId="4BD0F7D9" w:rsidR="0069766E" w:rsidRDefault="0069766E" w:rsidP="007C726E">
      <w:pPr>
        <w:keepNext/>
      </w:pPr>
      <w:r>
        <w:tab/>
      </w:r>
      <w:r w:rsidR="00A63DC4">
        <w:t>Lesson 7</w:t>
      </w:r>
      <w:r w:rsidR="006F3BE9">
        <w:t xml:space="preserve"> addressed </w:t>
      </w:r>
      <w:r w:rsidR="00CF1691">
        <w:t xml:space="preserve">changes in </w:t>
      </w:r>
      <w:r w:rsidR="00DF15C5">
        <w:t>plans or in the scope of work where</w:t>
      </w:r>
      <w:r w:rsidR="00CB32C8">
        <w:t xml:space="preserve"> the parties agree to a change order</w:t>
      </w:r>
      <w:r w:rsidR="00A63DC4">
        <w:t>,</w:t>
      </w:r>
      <w:r w:rsidR="00CB32C8">
        <w:t xml:space="preserve"> </w:t>
      </w:r>
      <w:r w:rsidR="00DE3961">
        <w:t xml:space="preserve">where </w:t>
      </w:r>
      <w:r w:rsidR="00CB32C8">
        <w:t>the owner issues a unilateral directive for a change, or</w:t>
      </w:r>
      <w:r w:rsidR="00DE3961">
        <w:t xml:space="preserve"> under</w:t>
      </w:r>
      <w:r w:rsidR="00A82626">
        <w:t xml:space="preserve"> </w:t>
      </w:r>
      <w:r w:rsidR="005E3A24">
        <w:t>circumstances giv</w:t>
      </w:r>
      <w:r w:rsidR="00DE3961">
        <w:t>ing</w:t>
      </w:r>
      <w:r w:rsidR="005E3A24">
        <w:t xml:space="preserve"> rise to a constructive change.</w:t>
      </w:r>
      <w:r w:rsidR="001B77C4">
        <w:t xml:space="preserve"> As Lesson 7 briefly noted, however,</w:t>
      </w:r>
      <w:r w:rsidR="00A63DC4">
        <w:t xml:space="preserve"> </w:t>
      </w:r>
      <w:r w:rsidR="000C4668">
        <w:t xml:space="preserve">unanticipated circumstances may </w:t>
      </w:r>
      <w:r w:rsidR="001B77C4">
        <w:t xml:space="preserve">also </w:t>
      </w:r>
      <w:r w:rsidR="000C4668">
        <w:t>trigger the contractor’s right to a</w:t>
      </w:r>
      <w:r w:rsidR="00CC399A">
        <w:t xml:space="preserve"> pricing or schedule </w:t>
      </w:r>
      <w:r w:rsidR="000C4668">
        <w:t>adjustment</w:t>
      </w:r>
      <w:r w:rsidR="005322D6">
        <w:t xml:space="preserve"> (or both)</w:t>
      </w:r>
      <w:r w:rsidR="000C4668">
        <w:t>.</w:t>
      </w:r>
      <w:r w:rsidR="0004152E">
        <w:t xml:space="preserve"> </w:t>
      </w:r>
      <w:r w:rsidR="0035654B">
        <w:t>To address this situation, construction contracts often include a special provision</w:t>
      </w:r>
      <w:r w:rsidR="008B7FCF">
        <w:t xml:space="preserve">, commonly called a “differing site conditions” </w:t>
      </w:r>
      <w:r w:rsidR="00D840EE">
        <w:t xml:space="preserve">(DSC) </w:t>
      </w:r>
      <w:r w:rsidR="008B7FCF">
        <w:t>clause,</w:t>
      </w:r>
      <w:r w:rsidR="0035654B">
        <w:t xml:space="preserve"> </w:t>
      </w:r>
      <w:r w:rsidR="005E72D6">
        <w:t>concerning concealed conditions or changed circumstances</w:t>
      </w:r>
      <w:r w:rsidR="00A67814">
        <w:t>.</w:t>
      </w:r>
      <w:r w:rsidR="00EF1946">
        <w:t xml:space="preserve"> See </w:t>
      </w:r>
      <w:r w:rsidR="00D8730D" w:rsidRPr="00A519CB">
        <w:t xml:space="preserve">Phillip L. Bruner &amp; Patrick J. O’Connor, Jr., </w:t>
      </w:r>
      <w:r w:rsidR="00D20AB0">
        <w:t>4A</w:t>
      </w:r>
      <w:r w:rsidR="00D8730D" w:rsidRPr="00A519CB">
        <w:t xml:space="preserve"> </w:t>
      </w:r>
      <w:r w:rsidR="00D8730D" w:rsidRPr="00A519CB">
        <w:rPr>
          <w:i/>
          <w:iCs/>
        </w:rPr>
        <w:t>Bruner &amp; O’Connor on Construction Law</w:t>
      </w:r>
      <w:r w:rsidR="00D8730D" w:rsidRPr="00A519CB">
        <w:t xml:space="preserve">, </w:t>
      </w:r>
      <w:r w:rsidR="00D8730D">
        <w:t xml:space="preserve">§§ </w:t>
      </w:r>
      <w:r w:rsidR="00911D3D">
        <w:t xml:space="preserve">14:1-14:59 </w:t>
      </w:r>
      <w:r w:rsidR="00D8730D" w:rsidRPr="00A519CB">
        <w:t>(Westlaw Aug. 2023).</w:t>
      </w:r>
      <w:r w:rsidR="007B5B6E">
        <w:t xml:space="preserve"> </w:t>
      </w:r>
      <w:r w:rsidR="000F2019">
        <w:t>Even in the absence of such a provision,</w:t>
      </w:r>
      <w:r w:rsidR="005B52A4">
        <w:t xml:space="preserve"> </w:t>
      </w:r>
      <w:r w:rsidR="001942BE">
        <w:t xml:space="preserve">when contractors encounter </w:t>
      </w:r>
      <w:r w:rsidR="005B52A4">
        <w:t xml:space="preserve">unanticipated circumstances </w:t>
      </w:r>
      <w:r w:rsidR="001942BE">
        <w:t xml:space="preserve">during construction, they may seek </w:t>
      </w:r>
      <w:r w:rsidR="00B74962">
        <w:t>pricing and schedule adjustments</w:t>
      </w:r>
      <w:r w:rsidR="00677858">
        <w:t xml:space="preserve"> if they can establish </w:t>
      </w:r>
      <w:r w:rsidR="00903D1D">
        <w:t xml:space="preserve">that the owner either misrepresented the relevant conditions or </w:t>
      </w:r>
      <w:r w:rsidR="00A92BE5">
        <w:t xml:space="preserve">knew of </w:t>
      </w:r>
      <w:r w:rsidR="00BD1361">
        <w:t xml:space="preserve">adverse </w:t>
      </w:r>
      <w:r w:rsidR="002378F2">
        <w:t xml:space="preserve">conditions </w:t>
      </w:r>
      <w:r w:rsidR="00B3006C">
        <w:t>that the contractor</w:t>
      </w:r>
      <w:r w:rsidR="0011373C">
        <w:t xml:space="preserve"> could not reasonably discover.</w:t>
      </w:r>
      <w:r w:rsidR="00B27EF6">
        <w:t xml:space="preserve"> </w:t>
      </w:r>
    </w:p>
    <w:p w14:paraId="4B3943AB" w14:textId="77777777" w:rsidR="00090539" w:rsidRDefault="00090539" w:rsidP="007C726E">
      <w:pPr>
        <w:keepNext/>
      </w:pPr>
    </w:p>
    <w:p w14:paraId="52C66334" w14:textId="2C5683F5" w:rsidR="005A0790" w:rsidRDefault="00090539" w:rsidP="005A0790">
      <w:pPr>
        <w:spacing w:after="160" w:line="259" w:lineRule="auto"/>
      </w:pPr>
      <w:r>
        <w:tab/>
      </w:r>
      <w:r w:rsidR="00CD5364">
        <w:t>Read the</w:t>
      </w:r>
      <w:r w:rsidR="000912D2">
        <w:t xml:space="preserve"> following</w:t>
      </w:r>
      <w:r w:rsidR="005A0790" w:rsidRPr="005A0790">
        <w:t xml:space="preserve"> </w:t>
      </w:r>
      <w:r w:rsidR="00BD5A43">
        <w:t xml:space="preserve">authorities </w:t>
      </w:r>
      <w:r w:rsidR="00EE67A9">
        <w:t>relating to</w:t>
      </w:r>
      <w:r w:rsidR="00B65095">
        <w:t xml:space="preserve"> contractor</w:t>
      </w:r>
      <w:r w:rsidR="000459BE">
        <w:t xml:space="preserve"> </w:t>
      </w:r>
      <w:r w:rsidR="00B65095">
        <w:t xml:space="preserve">claims based on </w:t>
      </w:r>
      <w:r w:rsidR="000459BE">
        <w:t>concealed conditions and</w:t>
      </w:r>
      <w:r w:rsidR="00D237C1">
        <w:t xml:space="preserve"> other</w:t>
      </w:r>
      <w:r w:rsidR="001A61C3">
        <w:t xml:space="preserve"> </w:t>
      </w:r>
      <w:r w:rsidR="006927BA">
        <w:t>unanticipated circumstances</w:t>
      </w:r>
      <w:r w:rsidR="005A0790">
        <w:t>:</w:t>
      </w:r>
    </w:p>
    <w:p w14:paraId="1FD8A88B" w14:textId="7C24F007" w:rsidR="005A0790" w:rsidRDefault="009073CE" w:rsidP="005A0790">
      <w:pPr>
        <w:pStyle w:val="ListParagraph"/>
        <w:numPr>
          <w:ilvl w:val="0"/>
          <w:numId w:val="2"/>
        </w:numPr>
        <w:spacing w:after="160" w:line="259" w:lineRule="auto"/>
      </w:pPr>
      <w:r w:rsidRPr="001B2A11">
        <w:rPr>
          <w:i/>
          <w:iCs/>
        </w:rPr>
        <w:t>I Know What I Know-Really Reminds Me of Money</w:t>
      </w:r>
      <w:r w:rsidRPr="00F2305A">
        <w:t xml:space="preserve">, </w:t>
      </w:r>
      <w:r w:rsidR="00AB3D07">
        <w:t xml:space="preserve">43 </w:t>
      </w:r>
      <w:r w:rsidRPr="001B2A11">
        <w:t>Constr. Law</w:t>
      </w:r>
      <w:r w:rsidRPr="00F2305A">
        <w:t>., Spring 2024, at 9</w:t>
      </w:r>
      <w:r w:rsidR="001B2A11">
        <w:t xml:space="preserve">, by </w:t>
      </w:r>
      <w:r w:rsidR="001B2A11" w:rsidRPr="00F2305A">
        <w:t>Christian C. Trevino</w:t>
      </w:r>
      <w:r w:rsidR="001B2A11">
        <w:t xml:space="preserve"> and</w:t>
      </w:r>
      <w:r w:rsidR="001B2A11" w:rsidRPr="00F2305A">
        <w:t xml:space="preserve"> Robert J. MacPherson</w:t>
      </w:r>
      <w:r>
        <w:t>.</w:t>
      </w:r>
    </w:p>
    <w:p w14:paraId="55C6B07D" w14:textId="5EDF890F" w:rsidR="005A0790" w:rsidRDefault="00801BFC" w:rsidP="004A76BD">
      <w:pPr>
        <w:pStyle w:val="ListParagraph"/>
        <w:spacing w:after="160" w:line="259" w:lineRule="auto"/>
        <w:contextualSpacing w:val="0"/>
      </w:pPr>
      <w:r>
        <w:t>The authors explain how the common law viewed concealed conditions, and they</w:t>
      </w:r>
      <w:r w:rsidR="00487586">
        <w:t xml:space="preserve"> thoroughly explore the development and application of </w:t>
      </w:r>
      <w:r w:rsidR="00722A4B">
        <w:t>DSC</w:t>
      </w:r>
      <w:r w:rsidR="00F14C89">
        <w:t xml:space="preserve"> clauses</w:t>
      </w:r>
      <w:r w:rsidR="00722A4B">
        <w:t xml:space="preserve">. In the interest of economic efficiency, </w:t>
      </w:r>
      <w:r w:rsidR="002525E1">
        <w:t xml:space="preserve">contracting parties </w:t>
      </w:r>
      <w:r w:rsidR="000107B6">
        <w:t xml:space="preserve">routinely </w:t>
      </w:r>
      <w:r w:rsidR="002525E1">
        <w:t xml:space="preserve">use a DSC clause to transfer to the owner certain risks of </w:t>
      </w:r>
      <w:r w:rsidR="00AF2740">
        <w:t xml:space="preserve">concealed conditions or unanticipated circumstances that common law contracting principles would otherwise allocate to a contractor who has agreed to </w:t>
      </w:r>
      <w:r w:rsidR="00DE1CE7">
        <w:t>perform the work for a fixed price (or subject to a guaranteed maximum price) or</w:t>
      </w:r>
      <w:r w:rsidR="00FA201E">
        <w:t xml:space="preserve"> on a specified </w:t>
      </w:r>
      <w:r w:rsidR="008D56C9">
        <w:t xml:space="preserve">completion </w:t>
      </w:r>
      <w:r w:rsidR="00FA201E">
        <w:t xml:space="preserve">schedule. </w:t>
      </w:r>
      <w:r w:rsidR="00AC3D63">
        <w:t xml:space="preserve">As this article explains, </w:t>
      </w:r>
      <w:r w:rsidR="00724B9F">
        <w:t xml:space="preserve">DSC clauses traditionally </w:t>
      </w:r>
      <w:r w:rsidR="00615353">
        <w:t>provide for equitable adjustment</w:t>
      </w:r>
      <w:r w:rsidR="00E8684F">
        <w:t>s</w:t>
      </w:r>
      <w:r w:rsidR="00615353">
        <w:t xml:space="preserve"> in two distinct categories</w:t>
      </w:r>
      <w:r w:rsidR="00AF3FC4">
        <w:t>—Type I claims (</w:t>
      </w:r>
      <w:r w:rsidR="00A83558">
        <w:t xml:space="preserve">based on </w:t>
      </w:r>
      <w:r w:rsidR="00842EF4">
        <w:t>deviations</w:t>
      </w:r>
      <w:r w:rsidR="002F392C">
        <w:t xml:space="preserve"> from conditions that the contract documents indicate) and Type II claims (</w:t>
      </w:r>
      <w:r w:rsidR="00A972FE">
        <w:t xml:space="preserve">unknown and unusual physical conditions). </w:t>
      </w:r>
      <w:r w:rsidR="00CC5BB2">
        <w:t>In addition</w:t>
      </w:r>
      <w:r w:rsidR="00AC5474">
        <w:t xml:space="preserve"> to these traditional bases</w:t>
      </w:r>
      <w:r w:rsidR="00CC5BB2">
        <w:t>, the</w:t>
      </w:r>
      <w:r w:rsidR="00E8684F">
        <w:t xml:space="preserve"> authors </w:t>
      </w:r>
      <w:r w:rsidR="00CE6CB0">
        <w:t xml:space="preserve">explain that </w:t>
      </w:r>
      <w:r w:rsidR="00476E67">
        <w:t xml:space="preserve">contracts regularly include </w:t>
      </w:r>
      <w:r w:rsidR="000354F2">
        <w:t xml:space="preserve">separate </w:t>
      </w:r>
      <w:r w:rsidR="00476E67">
        <w:t xml:space="preserve">provisions </w:t>
      </w:r>
      <w:r w:rsidR="006A45BE">
        <w:t>concerning</w:t>
      </w:r>
      <w:r w:rsidR="00E8684F">
        <w:t xml:space="preserve"> a third category</w:t>
      </w:r>
      <w:r w:rsidR="008B2C31">
        <w:t xml:space="preserve">, </w:t>
      </w:r>
      <w:r w:rsidR="00613666">
        <w:t>dealing with</w:t>
      </w:r>
      <w:r w:rsidR="00437658">
        <w:t xml:space="preserve"> </w:t>
      </w:r>
      <w:r w:rsidR="005B5522">
        <w:t xml:space="preserve">unanticipated </w:t>
      </w:r>
      <w:r w:rsidR="00437658">
        <w:t>hazardous</w:t>
      </w:r>
      <w:r w:rsidR="00CE6CB0">
        <w:t xml:space="preserve"> conditions</w:t>
      </w:r>
      <w:r w:rsidR="00CC5BB2">
        <w:t>.</w:t>
      </w:r>
      <w:r w:rsidR="00FD17A6">
        <w:t xml:space="preserve"> </w:t>
      </w:r>
      <w:r w:rsidR="00FA201E">
        <w:t xml:space="preserve">The article also </w:t>
      </w:r>
      <w:r w:rsidR="001B4CF1">
        <w:t>provides a comparative analysis of</w:t>
      </w:r>
      <w:r w:rsidR="003415B8">
        <w:t xml:space="preserve"> how the law in other countries address </w:t>
      </w:r>
      <w:r w:rsidR="00E21C63">
        <w:t>these situations</w:t>
      </w:r>
      <w:r w:rsidR="00181324">
        <w:t xml:space="preserve">, </w:t>
      </w:r>
      <w:r w:rsidR="00FA0ABC">
        <w:t xml:space="preserve">along with </w:t>
      </w:r>
      <w:r w:rsidR="00E8392B">
        <w:t xml:space="preserve">an </w:t>
      </w:r>
      <w:r w:rsidR="00FA0ABC">
        <w:t>overvie</w:t>
      </w:r>
      <w:r w:rsidR="00682F04">
        <w:t>w</w:t>
      </w:r>
      <w:r w:rsidR="004A1C3B">
        <w:t xml:space="preserve"> of the most common versions of DSC clauses</w:t>
      </w:r>
      <w:r w:rsidR="00613666">
        <w:t xml:space="preserve"> in standard contracts</w:t>
      </w:r>
      <w:r w:rsidR="00DA4845">
        <w:t>.</w:t>
      </w:r>
      <w:r w:rsidR="00C42F4D">
        <w:t xml:space="preserve"> </w:t>
      </w:r>
      <w:r w:rsidR="00E21C63">
        <w:t xml:space="preserve">Finally, it briefly </w:t>
      </w:r>
      <w:r w:rsidR="00DA4845">
        <w:t>mentions</w:t>
      </w:r>
      <w:r w:rsidR="008B4120">
        <w:t xml:space="preserve"> misrepresentation and concealment theories</w:t>
      </w:r>
      <w:r w:rsidR="000F4DAE">
        <w:t xml:space="preserve"> that </w:t>
      </w:r>
      <w:r w:rsidR="003036CB">
        <w:t>may support contractor claims</w:t>
      </w:r>
      <w:r w:rsidR="00CA5CF0">
        <w:t xml:space="preserve"> not based on DSC clauses</w:t>
      </w:r>
      <w:r w:rsidR="001C0B4F">
        <w:t xml:space="preserve">. (The </w:t>
      </w:r>
      <w:r w:rsidR="00756DD8">
        <w:t>author</w:t>
      </w:r>
      <w:r w:rsidR="00DA642F">
        <w:t>s</w:t>
      </w:r>
      <w:r w:rsidR="00070326">
        <w:t>’</w:t>
      </w:r>
      <w:r w:rsidR="00756DD8">
        <w:t xml:space="preserve"> </w:t>
      </w:r>
      <w:r w:rsidR="00F755E1">
        <w:t>abbreviated</w:t>
      </w:r>
      <w:r w:rsidR="00756DD8">
        <w:t xml:space="preserve"> discussion of </w:t>
      </w:r>
      <w:r w:rsidR="009B20A5">
        <w:t>alternative</w:t>
      </w:r>
      <w:r w:rsidR="00715656">
        <w:t xml:space="preserve"> methods for c</w:t>
      </w:r>
      <w:r w:rsidR="00756DD8">
        <w:t>alculati</w:t>
      </w:r>
      <w:r w:rsidR="00715656">
        <w:t>ng</w:t>
      </w:r>
      <w:r w:rsidR="00E85760">
        <w:t xml:space="preserve"> the amount a contractor</w:t>
      </w:r>
      <w:r w:rsidR="00A81B4C">
        <w:t xml:space="preserve"> may recover</w:t>
      </w:r>
      <w:r w:rsidR="00FF47A7">
        <w:t xml:space="preserve"> </w:t>
      </w:r>
      <w:r w:rsidR="000A1C3F">
        <w:t>for concealed</w:t>
      </w:r>
      <w:r w:rsidR="00715656">
        <w:t xml:space="preserve"> </w:t>
      </w:r>
      <w:r w:rsidR="004D5C38">
        <w:t>conditions</w:t>
      </w:r>
      <w:r w:rsidR="0000193D">
        <w:t xml:space="preserve"> or other unanticipated circumstances</w:t>
      </w:r>
      <w:r w:rsidR="009B20A5">
        <w:t xml:space="preserve"> </w:t>
      </w:r>
      <w:r w:rsidR="00924C6F">
        <w:t xml:space="preserve">broaches </w:t>
      </w:r>
      <w:r w:rsidR="004D5C38">
        <w:t>the much broader issue of damages</w:t>
      </w:r>
      <w:r w:rsidR="004A784E">
        <w:t>, which later lessons cover.)</w:t>
      </w:r>
    </w:p>
    <w:p w14:paraId="237A1555" w14:textId="77777777" w:rsidR="000C3BB9" w:rsidRDefault="000C3BB9" w:rsidP="005A0790">
      <w:pPr>
        <w:pStyle w:val="ListParagraph"/>
        <w:spacing w:after="160" w:line="259" w:lineRule="auto"/>
      </w:pPr>
    </w:p>
    <w:p w14:paraId="426D9D00" w14:textId="24DE450C" w:rsidR="005A0790" w:rsidRDefault="00962B42" w:rsidP="00F54217">
      <w:pPr>
        <w:pStyle w:val="ListParagraph"/>
        <w:numPr>
          <w:ilvl w:val="0"/>
          <w:numId w:val="2"/>
        </w:numPr>
        <w:spacing w:after="160" w:line="259" w:lineRule="auto"/>
      </w:pPr>
      <w:r>
        <w:lastRenderedPageBreak/>
        <w:t xml:space="preserve">Section 3:57 in volume 1A of </w:t>
      </w:r>
      <w:r w:rsidRPr="636C9287">
        <w:rPr>
          <w:i/>
          <w:iCs/>
        </w:rPr>
        <w:t>Bruner &amp; O’Connor on Construction Law</w:t>
      </w:r>
      <w:r>
        <w:t xml:space="preserve"> (Westlaw Aug. 2023), by Phillip L. Bruner &amp; Patrick J. O’Connor, Jr.</w:t>
      </w:r>
    </w:p>
    <w:p w14:paraId="499A75AA" w14:textId="6DC47841" w:rsidR="00F54217" w:rsidRDefault="00F1503E" w:rsidP="00FC2605">
      <w:pPr>
        <w:pStyle w:val="ListParagraph"/>
        <w:spacing w:after="160" w:line="259" w:lineRule="auto"/>
        <w:contextualSpacing w:val="0"/>
      </w:pPr>
      <w:r>
        <w:t xml:space="preserve">This section introduces the superior knowledge doctrine and </w:t>
      </w:r>
      <w:r w:rsidR="00CC0E4F">
        <w:t>the</w:t>
      </w:r>
      <w:r w:rsidR="009E4856">
        <w:t xml:space="preserve"> principle that an owner </w:t>
      </w:r>
      <w:r w:rsidR="00042E28">
        <w:t xml:space="preserve">(especially a public owner) </w:t>
      </w:r>
      <w:r w:rsidR="009E4856">
        <w:t>may have a</w:t>
      </w:r>
      <w:r w:rsidR="006C419F">
        <w:t xml:space="preserve"> duty to disclose </w:t>
      </w:r>
      <w:r w:rsidR="002A707B">
        <w:t>to the contractor material</w:t>
      </w:r>
      <w:r w:rsidR="006C419F">
        <w:t xml:space="preserve"> information</w:t>
      </w:r>
      <w:r w:rsidR="002A707B">
        <w:t xml:space="preserve"> under certain circumstances.</w:t>
      </w:r>
      <w:r w:rsidR="0089589A">
        <w:t xml:space="preserve"> </w:t>
      </w:r>
    </w:p>
    <w:p w14:paraId="022CF0EE" w14:textId="77899196" w:rsidR="005A0790" w:rsidRDefault="0038604E" w:rsidP="00067800">
      <w:pPr>
        <w:pStyle w:val="ListParagraph"/>
        <w:numPr>
          <w:ilvl w:val="0"/>
          <w:numId w:val="2"/>
        </w:numPr>
        <w:spacing w:line="259" w:lineRule="auto"/>
      </w:pPr>
      <w:r w:rsidRPr="000E06D3">
        <w:rPr>
          <w:i/>
        </w:rPr>
        <w:t>U.S. v. Atlantic Dredging Co.</w:t>
      </w:r>
      <w:r w:rsidRPr="008A43AB">
        <w:t>, 253 U.S. 1 (1920)</w:t>
      </w:r>
      <w:r w:rsidR="005A0790">
        <w:t>.</w:t>
      </w:r>
    </w:p>
    <w:p w14:paraId="11238B78" w14:textId="37EF71D1" w:rsidR="005A0790" w:rsidRDefault="00BF6F79" w:rsidP="005A0790">
      <w:pPr>
        <w:spacing w:after="160" w:line="259" w:lineRule="auto"/>
        <w:ind w:left="720"/>
        <w:contextualSpacing/>
      </w:pPr>
      <w:r>
        <w:t xml:space="preserve">Be sure to read the </w:t>
      </w:r>
      <w:r w:rsidR="009C7019">
        <w:t>court’s synopsis</w:t>
      </w:r>
      <w:r w:rsidR="00806B14">
        <w:t xml:space="preserve"> carefu</w:t>
      </w:r>
      <w:r w:rsidR="00CD6EE1">
        <w:t>l</w:t>
      </w:r>
      <w:r w:rsidR="00806B14">
        <w:t>ly</w:t>
      </w:r>
      <w:r w:rsidR="009C7019">
        <w:t xml:space="preserve"> because </w:t>
      </w:r>
      <w:r w:rsidR="00CD6EE1">
        <w:t>it</w:t>
      </w:r>
      <w:r w:rsidR="00CD3479">
        <w:t>, rather than the opinion itself,</w:t>
      </w:r>
      <w:r w:rsidR="00CD6EE1">
        <w:t xml:space="preserve"> sets forth</w:t>
      </w:r>
      <w:r w:rsidR="00CD3479">
        <w:t xml:space="preserve"> the relevant</w:t>
      </w:r>
      <w:r w:rsidR="00CD6EE1">
        <w:t xml:space="preserve"> fact</w:t>
      </w:r>
      <w:r w:rsidR="00CD3479">
        <w:t>s</w:t>
      </w:r>
      <w:r w:rsidR="00783063">
        <w:t>.</w:t>
      </w:r>
      <w:r w:rsidR="00B264CC">
        <w:t xml:space="preserve"> </w:t>
      </w:r>
      <w:r w:rsidR="007E2D85">
        <w:t>The</w:t>
      </w:r>
      <w:r w:rsidR="00B264CC">
        <w:t xml:space="preserve"> case</w:t>
      </w:r>
      <w:r w:rsidR="003C2EED">
        <w:t xml:space="preserve"> arose</w:t>
      </w:r>
      <w:r w:rsidR="005C591A">
        <w:t xml:space="preserve"> </w:t>
      </w:r>
      <w:r w:rsidR="00A157AA">
        <w:t>at a time when</w:t>
      </w:r>
      <w:r w:rsidR="005C591A">
        <w:t xml:space="preserve"> </w:t>
      </w:r>
      <w:r w:rsidR="00530FFE">
        <w:t xml:space="preserve">federal </w:t>
      </w:r>
      <w:r w:rsidR="00A157AA">
        <w:t xml:space="preserve">construction contracts did not </w:t>
      </w:r>
      <w:r w:rsidR="00BC697A">
        <w:t>routinely include a</w:t>
      </w:r>
      <w:r w:rsidR="00670267">
        <w:t xml:space="preserve"> DSC</w:t>
      </w:r>
      <w:r w:rsidR="00C93C7A">
        <w:t xml:space="preserve"> clause</w:t>
      </w:r>
      <w:r w:rsidR="003C2EED">
        <w:t>.</w:t>
      </w:r>
      <w:r w:rsidR="00F20548">
        <w:t xml:space="preserve"> </w:t>
      </w:r>
      <w:r w:rsidR="007E2D85">
        <w:t>T</w:t>
      </w:r>
      <w:r w:rsidR="00F20548">
        <w:t xml:space="preserve">he </w:t>
      </w:r>
      <w:r w:rsidR="00B264CC">
        <w:t>U.S. Supreme Court</w:t>
      </w:r>
      <w:r w:rsidR="00E20BD2">
        <w:t xml:space="preserve">, </w:t>
      </w:r>
      <w:r w:rsidR="003C783D">
        <w:t>reason</w:t>
      </w:r>
      <w:r w:rsidR="00E20BD2">
        <w:t xml:space="preserve">ing </w:t>
      </w:r>
      <w:r w:rsidR="003C783D">
        <w:t xml:space="preserve">from the basic principle of the </w:t>
      </w:r>
      <w:proofErr w:type="spellStart"/>
      <w:r w:rsidR="003C783D">
        <w:t>Spearin</w:t>
      </w:r>
      <w:proofErr w:type="spellEnd"/>
      <w:r w:rsidR="003C783D">
        <w:t xml:space="preserve"> Doctrine</w:t>
      </w:r>
      <w:r w:rsidR="007831AC">
        <w:t xml:space="preserve">, </w:t>
      </w:r>
      <w:r w:rsidR="00184F70">
        <w:t>recognized a contractor’s right to recover</w:t>
      </w:r>
      <w:r w:rsidR="00C922B2">
        <w:t xml:space="preserve"> damages attributable to the owner’s misrepresentations</w:t>
      </w:r>
      <w:r w:rsidR="00CD0FE1">
        <w:t xml:space="preserve"> and failure to disclose materially relevant information.</w:t>
      </w:r>
      <w:r w:rsidR="002F3CFC">
        <w:t xml:space="preserve"> </w:t>
      </w:r>
      <w:r w:rsidR="00BC697A">
        <w:t xml:space="preserve">These theories, while </w:t>
      </w:r>
      <w:r w:rsidR="00DA7ECC">
        <w:t>relatively difficult to prove, remain viable</w:t>
      </w:r>
      <w:r w:rsidR="00966532">
        <w:t>.</w:t>
      </w:r>
    </w:p>
    <w:p w14:paraId="149260A0" w14:textId="0FB4EF50" w:rsidR="007B620E" w:rsidRDefault="000E06D3" w:rsidP="007B620E">
      <w:pPr>
        <w:pStyle w:val="ListParagraph"/>
        <w:numPr>
          <w:ilvl w:val="0"/>
          <w:numId w:val="2"/>
        </w:numPr>
        <w:spacing w:after="160" w:line="259" w:lineRule="auto"/>
      </w:pPr>
      <w:r w:rsidRPr="008336DA">
        <w:rPr>
          <w:i/>
        </w:rPr>
        <w:t xml:space="preserve">L.G. </w:t>
      </w:r>
      <w:proofErr w:type="spellStart"/>
      <w:r w:rsidRPr="008336DA">
        <w:rPr>
          <w:i/>
        </w:rPr>
        <w:t>Everist</w:t>
      </w:r>
      <w:proofErr w:type="spellEnd"/>
      <w:r w:rsidRPr="008336DA">
        <w:rPr>
          <w:i/>
        </w:rPr>
        <w:t>, Inc. v. U.S.</w:t>
      </w:r>
      <w:r w:rsidRPr="008A43AB">
        <w:t>, 231 Ct. Cl. 1013 (Ct. Cl. 1982)</w:t>
      </w:r>
      <w:r w:rsidR="007B620E" w:rsidRPr="00F2305A">
        <w:t>.</w:t>
      </w:r>
    </w:p>
    <w:p w14:paraId="4E91A8B9" w14:textId="26D1D7E8" w:rsidR="007B620E" w:rsidRDefault="00234DBB" w:rsidP="007B620E">
      <w:pPr>
        <w:pStyle w:val="ListParagraph"/>
        <w:spacing w:after="160" w:line="259" w:lineRule="auto"/>
      </w:pPr>
      <w:r>
        <w:t>Among other things, this case</w:t>
      </w:r>
      <w:r w:rsidR="009F2A32">
        <w:t xml:space="preserve"> </w:t>
      </w:r>
      <w:r w:rsidR="00B92828">
        <w:t>applies</w:t>
      </w:r>
      <w:r w:rsidR="00206C1F">
        <w:t xml:space="preserve"> the “superior knowledge” doctrine</w:t>
      </w:r>
      <w:r w:rsidR="007B620E">
        <w:t>.</w:t>
      </w:r>
      <w:r w:rsidR="00504206">
        <w:t xml:space="preserve"> As the case shows,</w:t>
      </w:r>
      <w:r w:rsidR="00BC3BE2">
        <w:t xml:space="preserve"> while</w:t>
      </w:r>
      <w:r w:rsidR="00504206">
        <w:t xml:space="preserve"> superior knowledge</w:t>
      </w:r>
      <w:r w:rsidR="00FE1802">
        <w:t>,</w:t>
      </w:r>
      <w:r w:rsidR="00E15BC4">
        <w:t xml:space="preserve"> </w:t>
      </w:r>
      <w:r w:rsidR="00FE1802">
        <w:t>misrepresentation</w:t>
      </w:r>
      <w:r w:rsidR="00504206">
        <w:t xml:space="preserve">, </w:t>
      </w:r>
      <w:r w:rsidR="00FE1802">
        <w:t xml:space="preserve">and a DSC </w:t>
      </w:r>
      <w:r w:rsidR="005521AB">
        <w:t xml:space="preserve">clause </w:t>
      </w:r>
      <w:r w:rsidR="00064EDA">
        <w:t>each</w:t>
      </w:r>
      <w:r w:rsidR="00173349">
        <w:t xml:space="preserve"> </w:t>
      </w:r>
      <w:r w:rsidR="004745F7">
        <w:t>can</w:t>
      </w:r>
      <w:r w:rsidR="0063486F">
        <w:t xml:space="preserve"> serve independent</w:t>
      </w:r>
      <w:r w:rsidR="00FC32B6">
        <w:t>ly as the</w:t>
      </w:r>
      <w:r w:rsidR="0063486F">
        <w:t xml:space="preserve"> </w:t>
      </w:r>
      <w:r w:rsidR="007D2F14">
        <w:t xml:space="preserve">basis for a remedy when a contractor encounters unanticipated circumstances, </w:t>
      </w:r>
      <w:r w:rsidR="00B02331">
        <w:t xml:space="preserve">each </w:t>
      </w:r>
      <w:r w:rsidR="003D3DB0">
        <w:t>one imposes a relatively</w:t>
      </w:r>
      <w:r w:rsidR="009E7D60">
        <w:t xml:space="preserve"> demanding standard of proof.</w:t>
      </w:r>
    </w:p>
    <w:p w14:paraId="18B0A24A" w14:textId="77777777" w:rsidR="00115790" w:rsidRDefault="00115790" w:rsidP="007B620E">
      <w:pPr>
        <w:pStyle w:val="ListParagraph"/>
        <w:spacing w:after="160" w:line="259" w:lineRule="auto"/>
      </w:pPr>
    </w:p>
    <w:p w14:paraId="26DE22BD" w14:textId="61EF8DB4" w:rsidR="00115790" w:rsidRDefault="00115790" w:rsidP="00115790">
      <w:pPr>
        <w:pStyle w:val="ListParagraph"/>
        <w:spacing w:after="160" w:line="259" w:lineRule="auto"/>
        <w:ind w:left="0"/>
      </w:pPr>
      <w:r>
        <w:rPr>
          <w:u w:val="single"/>
        </w:rPr>
        <w:t xml:space="preserve">For </w:t>
      </w:r>
      <w:r w:rsidR="00CA017D">
        <w:rPr>
          <w:u w:val="single"/>
        </w:rPr>
        <w:t>Review and Discussion</w:t>
      </w:r>
    </w:p>
    <w:p w14:paraId="5A74A6E6" w14:textId="6060512D" w:rsidR="00CA017D" w:rsidRDefault="00CE50DC" w:rsidP="00115790">
      <w:pPr>
        <w:pStyle w:val="ListParagraph"/>
        <w:spacing w:after="160" w:line="259" w:lineRule="auto"/>
        <w:ind w:left="0"/>
      </w:pPr>
      <w:r>
        <w:t xml:space="preserve"> </w:t>
      </w:r>
    </w:p>
    <w:p w14:paraId="4EFE1964" w14:textId="5C58B03B" w:rsidR="00CA017D" w:rsidRDefault="00CE50DC" w:rsidP="00E628C8">
      <w:pPr>
        <w:pStyle w:val="ListParagraph"/>
        <w:numPr>
          <w:ilvl w:val="0"/>
          <w:numId w:val="6"/>
        </w:numPr>
        <w:spacing w:after="160" w:line="259" w:lineRule="auto"/>
      </w:pPr>
      <w:r>
        <w:t>Experience with concealed conditions and other unanticipated circumstances has convinced the federal government, many other public agencies, and the leading</w:t>
      </w:r>
      <w:r w:rsidR="007728E8">
        <w:t xml:space="preserve"> industry organizations to include DSC clauses in construction contracts. Can you think of circumstances </w:t>
      </w:r>
      <w:r w:rsidR="0065372F">
        <w:t xml:space="preserve">in which you might counsel an owner not to </w:t>
      </w:r>
      <w:r w:rsidR="0035133D">
        <w:t>accept a DSC clause?</w:t>
      </w:r>
    </w:p>
    <w:p w14:paraId="1B3E8C7E" w14:textId="72ACC099" w:rsidR="00CA017D" w:rsidRDefault="00DE1302" w:rsidP="00E628C8">
      <w:pPr>
        <w:pStyle w:val="ListParagraph"/>
        <w:numPr>
          <w:ilvl w:val="0"/>
          <w:numId w:val="6"/>
        </w:numPr>
        <w:spacing w:after="160" w:line="259" w:lineRule="auto"/>
      </w:pPr>
      <w:r>
        <w:t>How does the superior knowledge doctrine differ from misrepresentation theory as a basis for a contractor</w:t>
      </w:r>
      <w:r w:rsidR="008F4FE5">
        <w:t xml:space="preserve"> to recover damages attributable to concealed conditions?</w:t>
      </w:r>
    </w:p>
    <w:p w14:paraId="3BF3F74A" w14:textId="527316CF" w:rsidR="00CA017D" w:rsidRDefault="00F57387" w:rsidP="00CA017D">
      <w:pPr>
        <w:pStyle w:val="ListParagraph"/>
        <w:numPr>
          <w:ilvl w:val="0"/>
          <w:numId w:val="6"/>
        </w:numPr>
        <w:spacing w:after="160" w:line="259" w:lineRule="auto"/>
      </w:pPr>
      <w:r>
        <w:t>Are the</w:t>
      </w:r>
      <w:r w:rsidR="00DB40FF">
        <w:t>re sound</w:t>
      </w:r>
      <w:r>
        <w:t xml:space="preserve"> policy reasons for limiting the superior knowledge doctrine to </w:t>
      </w:r>
      <w:r w:rsidR="00D64C5D">
        <w:t>public projects?</w:t>
      </w:r>
    </w:p>
    <w:p w14:paraId="3D276756" w14:textId="77777777" w:rsidR="00CA017D" w:rsidRPr="00CA017D" w:rsidRDefault="00CA017D" w:rsidP="0098201C">
      <w:pPr>
        <w:spacing w:after="160" w:line="259" w:lineRule="auto"/>
        <w:ind w:left="360"/>
      </w:pPr>
    </w:p>
    <w:p w14:paraId="03F8433D" w14:textId="7AF5B53D" w:rsidR="00090539" w:rsidRDefault="00090539" w:rsidP="005A0790">
      <w:pPr>
        <w:keepNext/>
      </w:pPr>
    </w:p>
    <w:p w14:paraId="4A739EE9" w14:textId="77777777" w:rsidR="00090539" w:rsidRDefault="00090539" w:rsidP="007C726E">
      <w:pPr>
        <w:keepNext/>
      </w:pP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1274E3B8" w14:textId="4F530C7F" w:rsidR="002B50D3" w:rsidRDefault="002B50D3" w:rsidP="007C00D4">
      <w:pPr>
        <w:spacing w:after="160" w:line="259" w:lineRule="auto"/>
      </w:pPr>
    </w:p>
    <w:sectPr w:rsidR="002B50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B581" w14:textId="77777777" w:rsidR="00EC758B" w:rsidRDefault="00EC758B" w:rsidP="007C726E">
      <w:r>
        <w:separator/>
      </w:r>
    </w:p>
  </w:endnote>
  <w:endnote w:type="continuationSeparator" w:id="0">
    <w:p w14:paraId="1C1ABC12" w14:textId="77777777" w:rsidR="00EC758B" w:rsidRDefault="00EC758B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24" w14:textId="5CFA59B3" w:rsidR="007C726E" w:rsidRDefault="007C726E">
    <w:pPr>
      <w:pStyle w:val="Footer"/>
    </w:pPr>
    <w:r>
      <w:t xml:space="preserve">© Carl J. </w:t>
    </w:r>
    <w:proofErr w:type="spellStart"/>
    <w:r>
      <w:t>Circo</w:t>
    </w:r>
    <w:proofErr w:type="spellEnd"/>
    <w:r>
      <w:t xml:space="preserve">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0D7A" w14:textId="77777777" w:rsidR="00EC758B" w:rsidRDefault="00EC758B" w:rsidP="007C726E">
      <w:r>
        <w:separator/>
      </w:r>
    </w:p>
  </w:footnote>
  <w:footnote w:type="continuationSeparator" w:id="0">
    <w:p w14:paraId="0976138A" w14:textId="77777777" w:rsidR="00EC758B" w:rsidRDefault="00EC758B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70F" w14:textId="10F1E809" w:rsidR="007C726E" w:rsidRDefault="007C726E">
    <w:pPr>
      <w:pStyle w:val="Header"/>
    </w:pPr>
    <w:r>
      <w:t>Work-in-progress, September 2024</w:t>
    </w:r>
  </w:p>
  <w:p w14:paraId="4032C77E" w14:textId="77777777" w:rsidR="007C726E" w:rsidRDefault="007C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C5F"/>
    <w:multiLevelType w:val="hybridMultilevel"/>
    <w:tmpl w:val="D5EE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9F7"/>
    <w:multiLevelType w:val="hybridMultilevel"/>
    <w:tmpl w:val="B61A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959"/>
    <w:multiLevelType w:val="hybridMultilevel"/>
    <w:tmpl w:val="440C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D1654"/>
    <w:multiLevelType w:val="hybridMultilevel"/>
    <w:tmpl w:val="D8F484DC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522776">
    <w:abstractNumId w:val="4"/>
  </w:num>
  <w:num w:numId="2" w16cid:durableId="1768116626">
    <w:abstractNumId w:val="1"/>
  </w:num>
  <w:num w:numId="3" w16cid:durableId="735053428">
    <w:abstractNumId w:val="3"/>
  </w:num>
  <w:num w:numId="4" w16cid:durableId="1242988332">
    <w:abstractNumId w:val="5"/>
  </w:num>
  <w:num w:numId="5" w16cid:durableId="520627845">
    <w:abstractNumId w:val="2"/>
  </w:num>
  <w:num w:numId="6" w16cid:durableId="4650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193D"/>
    <w:rsid w:val="00002CD4"/>
    <w:rsid w:val="000107B6"/>
    <w:rsid w:val="00015FCE"/>
    <w:rsid w:val="00016CEE"/>
    <w:rsid w:val="000275AE"/>
    <w:rsid w:val="000354F2"/>
    <w:rsid w:val="00041522"/>
    <w:rsid w:val="0004152E"/>
    <w:rsid w:val="0004208A"/>
    <w:rsid w:val="00042E28"/>
    <w:rsid w:val="000459BE"/>
    <w:rsid w:val="000510B3"/>
    <w:rsid w:val="0005305E"/>
    <w:rsid w:val="00056231"/>
    <w:rsid w:val="0006039D"/>
    <w:rsid w:val="00064EDA"/>
    <w:rsid w:val="00067800"/>
    <w:rsid w:val="00070326"/>
    <w:rsid w:val="000709AD"/>
    <w:rsid w:val="00074BBB"/>
    <w:rsid w:val="00080649"/>
    <w:rsid w:val="000864BC"/>
    <w:rsid w:val="00090157"/>
    <w:rsid w:val="00090539"/>
    <w:rsid w:val="00090A47"/>
    <w:rsid w:val="000912D2"/>
    <w:rsid w:val="00091F5A"/>
    <w:rsid w:val="00093A04"/>
    <w:rsid w:val="000A1C3F"/>
    <w:rsid w:val="000A221E"/>
    <w:rsid w:val="000A3712"/>
    <w:rsid w:val="000C3BB9"/>
    <w:rsid w:val="000C4631"/>
    <w:rsid w:val="000C4668"/>
    <w:rsid w:val="000C6F9D"/>
    <w:rsid w:val="000C7B67"/>
    <w:rsid w:val="000D07E9"/>
    <w:rsid w:val="000D0CFE"/>
    <w:rsid w:val="000D10B1"/>
    <w:rsid w:val="000E06D3"/>
    <w:rsid w:val="000E1018"/>
    <w:rsid w:val="000E2862"/>
    <w:rsid w:val="000F0508"/>
    <w:rsid w:val="000F2019"/>
    <w:rsid w:val="000F3A82"/>
    <w:rsid w:val="000F4DAE"/>
    <w:rsid w:val="000F6C39"/>
    <w:rsid w:val="001013D9"/>
    <w:rsid w:val="001036F5"/>
    <w:rsid w:val="0010458F"/>
    <w:rsid w:val="00106B73"/>
    <w:rsid w:val="0011373C"/>
    <w:rsid w:val="00114F4E"/>
    <w:rsid w:val="00115790"/>
    <w:rsid w:val="00115FCC"/>
    <w:rsid w:val="001201EB"/>
    <w:rsid w:val="00121EB2"/>
    <w:rsid w:val="001259B5"/>
    <w:rsid w:val="00126092"/>
    <w:rsid w:val="00127AA2"/>
    <w:rsid w:val="00130879"/>
    <w:rsid w:val="001320BB"/>
    <w:rsid w:val="001329E6"/>
    <w:rsid w:val="00133096"/>
    <w:rsid w:val="0015267D"/>
    <w:rsid w:val="00152945"/>
    <w:rsid w:val="001555CB"/>
    <w:rsid w:val="00160618"/>
    <w:rsid w:val="00161558"/>
    <w:rsid w:val="00162061"/>
    <w:rsid w:val="00165346"/>
    <w:rsid w:val="00166652"/>
    <w:rsid w:val="00166E1C"/>
    <w:rsid w:val="00167CE9"/>
    <w:rsid w:val="00171FB6"/>
    <w:rsid w:val="00173349"/>
    <w:rsid w:val="0017473C"/>
    <w:rsid w:val="00174822"/>
    <w:rsid w:val="00175113"/>
    <w:rsid w:val="00175370"/>
    <w:rsid w:val="00175F1F"/>
    <w:rsid w:val="00181324"/>
    <w:rsid w:val="001843C1"/>
    <w:rsid w:val="00184F70"/>
    <w:rsid w:val="00192416"/>
    <w:rsid w:val="00193379"/>
    <w:rsid w:val="001942BE"/>
    <w:rsid w:val="0019572F"/>
    <w:rsid w:val="001A61C3"/>
    <w:rsid w:val="001B2A11"/>
    <w:rsid w:val="001B4CF1"/>
    <w:rsid w:val="001B77C4"/>
    <w:rsid w:val="001C0B4F"/>
    <w:rsid w:val="001E71F9"/>
    <w:rsid w:val="001F4B71"/>
    <w:rsid w:val="001F4C87"/>
    <w:rsid w:val="001F6768"/>
    <w:rsid w:val="00204933"/>
    <w:rsid w:val="00206C1F"/>
    <w:rsid w:val="002134D2"/>
    <w:rsid w:val="00217B9D"/>
    <w:rsid w:val="0022546D"/>
    <w:rsid w:val="00225759"/>
    <w:rsid w:val="00231116"/>
    <w:rsid w:val="00231F9C"/>
    <w:rsid w:val="002324D1"/>
    <w:rsid w:val="002332B5"/>
    <w:rsid w:val="00234DBB"/>
    <w:rsid w:val="00236759"/>
    <w:rsid w:val="002378F2"/>
    <w:rsid w:val="0024139E"/>
    <w:rsid w:val="00251BE1"/>
    <w:rsid w:val="002525E1"/>
    <w:rsid w:val="002526CD"/>
    <w:rsid w:val="00253C0D"/>
    <w:rsid w:val="002557A5"/>
    <w:rsid w:val="00265FF0"/>
    <w:rsid w:val="00266117"/>
    <w:rsid w:val="002665C5"/>
    <w:rsid w:val="00273EF7"/>
    <w:rsid w:val="00273F17"/>
    <w:rsid w:val="002808B5"/>
    <w:rsid w:val="00284257"/>
    <w:rsid w:val="00297FCC"/>
    <w:rsid w:val="002A4FA2"/>
    <w:rsid w:val="002A573E"/>
    <w:rsid w:val="002A707B"/>
    <w:rsid w:val="002B1227"/>
    <w:rsid w:val="002B3C14"/>
    <w:rsid w:val="002B50D3"/>
    <w:rsid w:val="002C4675"/>
    <w:rsid w:val="002D3EF8"/>
    <w:rsid w:val="002E5B6D"/>
    <w:rsid w:val="002F10CC"/>
    <w:rsid w:val="002F392C"/>
    <w:rsid w:val="002F3CFC"/>
    <w:rsid w:val="00301E96"/>
    <w:rsid w:val="003036CB"/>
    <w:rsid w:val="003062D7"/>
    <w:rsid w:val="003078B4"/>
    <w:rsid w:val="00313C12"/>
    <w:rsid w:val="00314404"/>
    <w:rsid w:val="003203BF"/>
    <w:rsid w:val="00322520"/>
    <w:rsid w:val="003269E9"/>
    <w:rsid w:val="0033550C"/>
    <w:rsid w:val="003375E7"/>
    <w:rsid w:val="003415B8"/>
    <w:rsid w:val="00342AF6"/>
    <w:rsid w:val="00347CEC"/>
    <w:rsid w:val="0035133D"/>
    <w:rsid w:val="0035654B"/>
    <w:rsid w:val="00362054"/>
    <w:rsid w:val="003743E2"/>
    <w:rsid w:val="003767DB"/>
    <w:rsid w:val="00380301"/>
    <w:rsid w:val="00380332"/>
    <w:rsid w:val="00384FFC"/>
    <w:rsid w:val="0038604E"/>
    <w:rsid w:val="00397A79"/>
    <w:rsid w:val="003A0C9F"/>
    <w:rsid w:val="003A0D72"/>
    <w:rsid w:val="003A2FC6"/>
    <w:rsid w:val="003A56A4"/>
    <w:rsid w:val="003B3DF9"/>
    <w:rsid w:val="003C0A43"/>
    <w:rsid w:val="003C2EED"/>
    <w:rsid w:val="003C3490"/>
    <w:rsid w:val="003C57D2"/>
    <w:rsid w:val="003C783D"/>
    <w:rsid w:val="003D1102"/>
    <w:rsid w:val="003D31AA"/>
    <w:rsid w:val="003D350B"/>
    <w:rsid w:val="003D3DB0"/>
    <w:rsid w:val="003D5C11"/>
    <w:rsid w:val="003E2999"/>
    <w:rsid w:val="003E3210"/>
    <w:rsid w:val="003E777A"/>
    <w:rsid w:val="003F0AD0"/>
    <w:rsid w:val="003F234A"/>
    <w:rsid w:val="003F2E76"/>
    <w:rsid w:val="003F3AE6"/>
    <w:rsid w:val="003F3EF6"/>
    <w:rsid w:val="003F5E04"/>
    <w:rsid w:val="003F740E"/>
    <w:rsid w:val="00404609"/>
    <w:rsid w:val="004169BB"/>
    <w:rsid w:val="00423E7C"/>
    <w:rsid w:val="004248D1"/>
    <w:rsid w:val="00425030"/>
    <w:rsid w:val="004264F7"/>
    <w:rsid w:val="00430307"/>
    <w:rsid w:val="00432C8C"/>
    <w:rsid w:val="00435239"/>
    <w:rsid w:val="00437658"/>
    <w:rsid w:val="004422B6"/>
    <w:rsid w:val="004523BB"/>
    <w:rsid w:val="00460F2D"/>
    <w:rsid w:val="004620FE"/>
    <w:rsid w:val="00463D70"/>
    <w:rsid w:val="0046652D"/>
    <w:rsid w:val="00466F66"/>
    <w:rsid w:val="004745F7"/>
    <w:rsid w:val="00475B9F"/>
    <w:rsid w:val="00476E67"/>
    <w:rsid w:val="0048307E"/>
    <w:rsid w:val="0048466C"/>
    <w:rsid w:val="004863D5"/>
    <w:rsid w:val="00486ACC"/>
    <w:rsid w:val="00487586"/>
    <w:rsid w:val="004A128D"/>
    <w:rsid w:val="004A18DF"/>
    <w:rsid w:val="004A1C3B"/>
    <w:rsid w:val="004A640B"/>
    <w:rsid w:val="004A76BD"/>
    <w:rsid w:val="004A784E"/>
    <w:rsid w:val="004A7A32"/>
    <w:rsid w:val="004B147B"/>
    <w:rsid w:val="004B6CEE"/>
    <w:rsid w:val="004C3077"/>
    <w:rsid w:val="004C3A31"/>
    <w:rsid w:val="004C6A70"/>
    <w:rsid w:val="004C7086"/>
    <w:rsid w:val="004D0A48"/>
    <w:rsid w:val="004D5C38"/>
    <w:rsid w:val="004E0367"/>
    <w:rsid w:val="004E38B9"/>
    <w:rsid w:val="004E38CD"/>
    <w:rsid w:val="004E3CFE"/>
    <w:rsid w:val="004F12CD"/>
    <w:rsid w:val="004F2E60"/>
    <w:rsid w:val="004F34D7"/>
    <w:rsid w:val="004F40A7"/>
    <w:rsid w:val="004F4B3F"/>
    <w:rsid w:val="00504206"/>
    <w:rsid w:val="00506735"/>
    <w:rsid w:val="005154BB"/>
    <w:rsid w:val="0051791D"/>
    <w:rsid w:val="0052346B"/>
    <w:rsid w:val="0052783A"/>
    <w:rsid w:val="00527EA7"/>
    <w:rsid w:val="00530FFE"/>
    <w:rsid w:val="005322D6"/>
    <w:rsid w:val="0053244C"/>
    <w:rsid w:val="0053295F"/>
    <w:rsid w:val="00535811"/>
    <w:rsid w:val="00540E8F"/>
    <w:rsid w:val="00541DB4"/>
    <w:rsid w:val="00551ABA"/>
    <w:rsid w:val="005521AB"/>
    <w:rsid w:val="00557C98"/>
    <w:rsid w:val="00561025"/>
    <w:rsid w:val="00561D4F"/>
    <w:rsid w:val="005624BD"/>
    <w:rsid w:val="005629CD"/>
    <w:rsid w:val="00565F90"/>
    <w:rsid w:val="0056635F"/>
    <w:rsid w:val="005905DC"/>
    <w:rsid w:val="0059098E"/>
    <w:rsid w:val="005A0517"/>
    <w:rsid w:val="005A0790"/>
    <w:rsid w:val="005A192A"/>
    <w:rsid w:val="005A2847"/>
    <w:rsid w:val="005A47F3"/>
    <w:rsid w:val="005A49B2"/>
    <w:rsid w:val="005A6FCD"/>
    <w:rsid w:val="005B1C4F"/>
    <w:rsid w:val="005B31CF"/>
    <w:rsid w:val="005B52A4"/>
    <w:rsid w:val="005B5522"/>
    <w:rsid w:val="005C4A80"/>
    <w:rsid w:val="005C591A"/>
    <w:rsid w:val="005C62AA"/>
    <w:rsid w:val="005C6B3E"/>
    <w:rsid w:val="005D2410"/>
    <w:rsid w:val="005D39D8"/>
    <w:rsid w:val="005D4BAB"/>
    <w:rsid w:val="005D60FB"/>
    <w:rsid w:val="005D63F0"/>
    <w:rsid w:val="005E29BF"/>
    <w:rsid w:val="005E38C4"/>
    <w:rsid w:val="005E3A24"/>
    <w:rsid w:val="005E4A8E"/>
    <w:rsid w:val="005E6DF0"/>
    <w:rsid w:val="005E72D6"/>
    <w:rsid w:val="006042DD"/>
    <w:rsid w:val="006075A4"/>
    <w:rsid w:val="00611FD5"/>
    <w:rsid w:val="00613666"/>
    <w:rsid w:val="00615353"/>
    <w:rsid w:val="00615DED"/>
    <w:rsid w:val="00616140"/>
    <w:rsid w:val="00617BA7"/>
    <w:rsid w:val="0063344C"/>
    <w:rsid w:val="0063486F"/>
    <w:rsid w:val="00636106"/>
    <w:rsid w:val="00636828"/>
    <w:rsid w:val="006375EA"/>
    <w:rsid w:val="0065372F"/>
    <w:rsid w:val="006552EE"/>
    <w:rsid w:val="006553BE"/>
    <w:rsid w:val="006611D6"/>
    <w:rsid w:val="00662FD4"/>
    <w:rsid w:val="00670267"/>
    <w:rsid w:val="006708FB"/>
    <w:rsid w:val="00673ECD"/>
    <w:rsid w:val="00677858"/>
    <w:rsid w:val="00682F04"/>
    <w:rsid w:val="006847BA"/>
    <w:rsid w:val="00690372"/>
    <w:rsid w:val="006927BA"/>
    <w:rsid w:val="006933E9"/>
    <w:rsid w:val="00695C3B"/>
    <w:rsid w:val="0069766E"/>
    <w:rsid w:val="006A3160"/>
    <w:rsid w:val="006A45BE"/>
    <w:rsid w:val="006B0C63"/>
    <w:rsid w:val="006B237E"/>
    <w:rsid w:val="006B44E3"/>
    <w:rsid w:val="006B55C8"/>
    <w:rsid w:val="006C419F"/>
    <w:rsid w:val="006C66EC"/>
    <w:rsid w:val="006C7251"/>
    <w:rsid w:val="006D35E4"/>
    <w:rsid w:val="006D6A5C"/>
    <w:rsid w:val="006D6A6D"/>
    <w:rsid w:val="006F3BE9"/>
    <w:rsid w:val="006F47CF"/>
    <w:rsid w:val="00715656"/>
    <w:rsid w:val="00722A4B"/>
    <w:rsid w:val="00723910"/>
    <w:rsid w:val="00724B9F"/>
    <w:rsid w:val="00725FB3"/>
    <w:rsid w:val="00730E03"/>
    <w:rsid w:val="00735BF3"/>
    <w:rsid w:val="007424D0"/>
    <w:rsid w:val="00745508"/>
    <w:rsid w:val="00745812"/>
    <w:rsid w:val="0074627B"/>
    <w:rsid w:val="00747FA0"/>
    <w:rsid w:val="00750753"/>
    <w:rsid w:val="00752F87"/>
    <w:rsid w:val="00754014"/>
    <w:rsid w:val="00756DD8"/>
    <w:rsid w:val="007602B3"/>
    <w:rsid w:val="00760A92"/>
    <w:rsid w:val="0076141F"/>
    <w:rsid w:val="007728E8"/>
    <w:rsid w:val="007742E9"/>
    <w:rsid w:val="00774F45"/>
    <w:rsid w:val="00781AB5"/>
    <w:rsid w:val="00783063"/>
    <w:rsid w:val="007831AC"/>
    <w:rsid w:val="007832B5"/>
    <w:rsid w:val="00786E4A"/>
    <w:rsid w:val="00792273"/>
    <w:rsid w:val="00797B4C"/>
    <w:rsid w:val="007A03F3"/>
    <w:rsid w:val="007A093F"/>
    <w:rsid w:val="007A427C"/>
    <w:rsid w:val="007A5CC7"/>
    <w:rsid w:val="007A67DD"/>
    <w:rsid w:val="007B1BF5"/>
    <w:rsid w:val="007B4273"/>
    <w:rsid w:val="007B52E9"/>
    <w:rsid w:val="007B5B6E"/>
    <w:rsid w:val="007B620E"/>
    <w:rsid w:val="007C00D4"/>
    <w:rsid w:val="007C404C"/>
    <w:rsid w:val="007C55B8"/>
    <w:rsid w:val="007C6574"/>
    <w:rsid w:val="007C726E"/>
    <w:rsid w:val="007D2A97"/>
    <w:rsid w:val="007D2F14"/>
    <w:rsid w:val="007D6CDD"/>
    <w:rsid w:val="007E0A1B"/>
    <w:rsid w:val="007E25E3"/>
    <w:rsid w:val="007E2D85"/>
    <w:rsid w:val="007F0CB5"/>
    <w:rsid w:val="007F66A7"/>
    <w:rsid w:val="00801BFC"/>
    <w:rsid w:val="00803E49"/>
    <w:rsid w:val="00805CF9"/>
    <w:rsid w:val="00806B14"/>
    <w:rsid w:val="008073ED"/>
    <w:rsid w:val="00811698"/>
    <w:rsid w:val="00812965"/>
    <w:rsid w:val="00813DA5"/>
    <w:rsid w:val="008154C8"/>
    <w:rsid w:val="008163C4"/>
    <w:rsid w:val="00821324"/>
    <w:rsid w:val="00825FC2"/>
    <w:rsid w:val="008336DA"/>
    <w:rsid w:val="00835016"/>
    <w:rsid w:val="008427E6"/>
    <w:rsid w:val="00842EF4"/>
    <w:rsid w:val="00845D40"/>
    <w:rsid w:val="00855BE9"/>
    <w:rsid w:val="00855C69"/>
    <w:rsid w:val="008651D5"/>
    <w:rsid w:val="00870C6C"/>
    <w:rsid w:val="0087193E"/>
    <w:rsid w:val="008732D3"/>
    <w:rsid w:val="00885B20"/>
    <w:rsid w:val="00886AB6"/>
    <w:rsid w:val="00887CCC"/>
    <w:rsid w:val="008904C1"/>
    <w:rsid w:val="0089310F"/>
    <w:rsid w:val="00894100"/>
    <w:rsid w:val="0089589A"/>
    <w:rsid w:val="008A41B5"/>
    <w:rsid w:val="008A70C6"/>
    <w:rsid w:val="008A7D38"/>
    <w:rsid w:val="008B025B"/>
    <w:rsid w:val="008B2C31"/>
    <w:rsid w:val="008B4120"/>
    <w:rsid w:val="008B7FCF"/>
    <w:rsid w:val="008C28EA"/>
    <w:rsid w:val="008C5CE7"/>
    <w:rsid w:val="008C64BB"/>
    <w:rsid w:val="008C6639"/>
    <w:rsid w:val="008C786B"/>
    <w:rsid w:val="008D21E3"/>
    <w:rsid w:val="008D56C9"/>
    <w:rsid w:val="008E0848"/>
    <w:rsid w:val="008E7FFE"/>
    <w:rsid w:val="008F1E09"/>
    <w:rsid w:val="008F4FE5"/>
    <w:rsid w:val="008F6F8F"/>
    <w:rsid w:val="008F715B"/>
    <w:rsid w:val="00902F5A"/>
    <w:rsid w:val="00903D1D"/>
    <w:rsid w:val="00904798"/>
    <w:rsid w:val="009073CE"/>
    <w:rsid w:val="009116F2"/>
    <w:rsid w:val="00911D3D"/>
    <w:rsid w:val="009129CC"/>
    <w:rsid w:val="009139E3"/>
    <w:rsid w:val="00913D1A"/>
    <w:rsid w:val="009178DA"/>
    <w:rsid w:val="0092293D"/>
    <w:rsid w:val="00922E51"/>
    <w:rsid w:val="00923576"/>
    <w:rsid w:val="00924058"/>
    <w:rsid w:val="00924C6F"/>
    <w:rsid w:val="00926AC1"/>
    <w:rsid w:val="00926D61"/>
    <w:rsid w:val="00926F25"/>
    <w:rsid w:val="0093345A"/>
    <w:rsid w:val="00936186"/>
    <w:rsid w:val="009367A8"/>
    <w:rsid w:val="00943D16"/>
    <w:rsid w:val="009510C4"/>
    <w:rsid w:val="0095161E"/>
    <w:rsid w:val="00956624"/>
    <w:rsid w:val="0095669C"/>
    <w:rsid w:val="00962B42"/>
    <w:rsid w:val="00964E92"/>
    <w:rsid w:val="00964FB3"/>
    <w:rsid w:val="00966532"/>
    <w:rsid w:val="00970563"/>
    <w:rsid w:val="00977A3A"/>
    <w:rsid w:val="00981379"/>
    <w:rsid w:val="0098201C"/>
    <w:rsid w:val="00982D07"/>
    <w:rsid w:val="00991083"/>
    <w:rsid w:val="009913D9"/>
    <w:rsid w:val="00994A0F"/>
    <w:rsid w:val="00994CEE"/>
    <w:rsid w:val="00995C4D"/>
    <w:rsid w:val="009A1E66"/>
    <w:rsid w:val="009A38F0"/>
    <w:rsid w:val="009A3EAD"/>
    <w:rsid w:val="009A7FBD"/>
    <w:rsid w:val="009B20A5"/>
    <w:rsid w:val="009C10FF"/>
    <w:rsid w:val="009C2B01"/>
    <w:rsid w:val="009C3516"/>
    <w:rsid w:val="009C55B3"/>
    <w:rsid w:val="009C7019"/>
    <w:rsid w:val="009C74DC"/>
    <w:rsid w:val="009E4856"/>
    <w:rsid w:val="009E7D60"/>
    <w:rsid w:val="009F2A01"/>
    <w:rsid w:val="009F2A32"/>
    <w:rsid w:val="009F553B"/>
    <w:rsid w:val="00A03F4C"/>
    <w:rsid w:val="00A07EA2"/>
    <w:rsid w:val="00A107CE"/>
    <w:rsid w:val="00A108A0"/>
    <w:rsid w:val="00A128A9"/>
    <w:rsid w:val="00A14E8B"/>
    <w:rsid w:val="00A157AA"/>
    <w:rsid w:val="00A23301"/>
    <w:rsid w:val="00A24AE0"/>
    <w:rsid w:val="00A25224"/>
    <w:rsid w:val="00A25A54"/>
    <w:rsid w:val="00A34557"/>
    <w:rsid w:val="00A43897"/>
    <w:rsid w:val="00A46010"/>
    <w:rsid w:val="00A4774A"/>
    <w:rsid w:val="00A552BD"/>
    <w:rsid w:val="00A555C3"/>
    <w:rsid w:val="00A63B6D"/>
    <w:rsid w:val="00A63DC4"/>
    <w:rsid w:val="00A67814"/>
    <w:rsid w:val="00A67AAE"/>
    <w:rsid w:val="00A71BCE"/>
    <w:rsid w:val="00A736C2"/>
    <w:rsid w:val="00A767BD"/>
    <w:rsid w:val="00A81B4C"/>
    <w:rsid w:val="00A82626"/>
    <w:rsid w:val="00A83558"/>
    <w:rsid w:val="00A862A4"/>
    <w:rsid w:val="00A92BE5"/>
    <w:rsid w:val="00A95117"/>
    <w:rsid w:val="00A968F8"/>
    <w:rsid w:val="00A972FE"/>
    <w:rsid w:val="00AA2C4C"/>
    <w:rsid w:val="00AA61E0"/>
    <w:rsid w:val="00AA6540"/>
    <w:rsid w:val="00AA7F1B"/>
    <w:rsid w:val="00AB0AEC"/>
    <w:rsid w:val="00AB32F1"/>
    <w:rsid w:val="00AB3D07"/>
    <w:rsid w:val="00AB4319"/>
    <w:rsid w:val="00AB46CF"/>
    <w:rsid w:val="00AB66F2"/>
    <w:rsid w:val="00AC1479"/>
    <w:rsid w:val="00AC231A"/>
    <w:rsid w:val="00AC3D63"/>
    <w:rsid w:val="00AC5474"/>
    <w:rsid w:val="00AD09BF"/>
    <w:rsid w:val="00AD6E52"/>
    <w:rsid w:val="00AD6F04"/>
    <w:rsid w:val="00AE1DFF"/>
    <w:rsid w:val="00AE46DD"/>
    <w:rsid w:val="00AE4D7F"/>
    <w:rsid w:val="00AE5842"/>
    <w:rsid w:val="00AE6508"/>
    <w:rsid w:val="00AF1241"/>
    <w:rsid w:val="00AF2740"/>
    <w:rsid w:val="00AF3FC4"/>
    <w:rsid w:val="00AF4C2E"/>
    <w:rsid w:val="00B0095A"/>
    <w:rsid w:val="00B016C2"/>
    <w:rsid w:val="00B02331"/>
    <w:rsid w:val="00B264CC"/>
    <w:rsid w:val="00B26EF4"/>
    <w:rsid w:val="00B27EF6"/>
    <w:rsid w:val="00B3006C"/>
    <w:rsid w:val="00B34EB8"/>
    <w:rsid w:val="00B42AAA"/>
    <w:rsid w:val="00B46B4F"/>
    <w:rsid w:val="00B5371B"/>
    <w:rsid w:val="00B5518D"/>
    <w:rsid w:val="00B579C0"/>
    <w:rsid w:val="00B61001"/>
    <w:rsid w:val="00B65095"/>
    <w:rsid w:val="00B65A3A"/>
    <w:rsid w:val="00B65B49"/>
    <w:rsid w:val="00B66E06"/>
    <w:rsid w:val="00B7249E"/>
    <w:rsid w:val="00B74962"/>
    <w:rsid w:val="00B80A17"/>
    <w:rsid w:val="00B813D2"/>
    <w:rsid w:val="00B817BD"/>
    <w:rsid w:val="00B8443D"/>
    <w:rsid w:val="00B87594"/>
    <w:rsid w:val="00B91FF6"/>
    <w:rsid w:val="00B92828"/>
    <w:rsid w:val="00B93621"/>
    <w:rsid w:val="00B94238"/>
    <w:rsid w:val="00BA0D88"/>
    <w:rsid w:val="00BA2B89"/>
    <w:rsid w:val="00BB16EC"/>
    <w:rsid w:val="00BB3304"/>
    <w:rsid w:val="00BB7006"/>
    <w:rsid w:val="00BC10C3"/>
    <w:rsid w:val="00BC179F"/>
    <w:rsid w:val="00BC25C4"/>
    <w:rsid w:val="00BC2996"/>
    <w:rsid w:val="00BC3BE2"/>
    <w:rsid w:val="00BC697A"/>
    <w:rsid w:val="00BD1361"/>
    <w:rsid w:val="00BD22B5"/>
    <w:rsid w:val="00BD3569"/>
    <w:rsid w:val="00BD5A43"/>
    <w:rsid w:val="00BE0ABA"/>
    <w:rsid w:val="00BF1912"/>
    <w:rsid w:val="00BF44BB"/>
    <w:rsid w:val="00BF6F79"/>
    <w:rsid w:val="00C02AD8"/>
    <w:rsid w:val="00C0332A"/>
    <w:rsid w:val="00C04C29"/>
    <w:rsid w:val="00C10CEC"/>
    <w:rsid w:val="00C1165E"/>
    <w:rsid w:val="00C12A0B"/>
    <w:rsid w:val="00C154A5"/>
    <w:rsid w:val="00C15BA2"/>
    <w:rsid w:val="00C15BAE"/>
    <w:rsid w:val="00C27BC9"/>
    <w:rsid w:val="00C351AE"/>
    <w:rsid w:val="00C42F4D"/>
    <w:rsid w:val="00C43F4F"/>
    <w:rsid w:val="00C47B46"/>
    <w:rsid w:val="00C51286"/>
    <w:rsid w:val="00C51DBC"/>
    <w:rsid w:val="00C53C0F"/>
    <w:rsid w:val="00C5665F"/>
    <w:rsid w:val="00C6124C"/>
    <w:rsid w:val="00C6674F"/>
    <w:rsid w:val="00C670B4"/>
    <w:rsid w:val="00C702B6"/>
    <w:rsid w:val="00C7158D"/>
    <w:rsid w:val="00C8108E"/>
    <w:rsid w:val="00C8497B"/>
    <w:rsid w:val="00C861C1"/>
    <w:rsid w:val="00C91732"/>
    <w:rsid w:val="00C920B6"/>
    <w:rsid w:val="00C922B2"/>
    <w:rsid w:val="00C92EC0"/>
    <w:rsid w:val="00C93C7A"/>
    <w:rsid w:val="00C96540"/>
    <w:rsid w:val="00CA017D"/>
    <w:rsid w:val="00CA5CF0"/>
    <w:rsid w:val="00CB0800"/>
    <w:rsid w:val="00CB2780"/>
    <w:rsid w:val="00CB2FAA"/>
    <w:rsid w:val="00CB32C8"/>
    <w:rsid w:val="00CC0E4F"/>
    <w:rsid w:val="00CC347F"/>
    <w:rsid w:val="00CC399A"/>
    <w:rsid w:val="00CC4587"/>
    <w:rsid w:val="00CC4CEC"/>
    <w:rsid w:val="00CC5BB2"/>
    <w:rsid w:val="00CD0FE1"/>
    <w:rsid w:val="00CD3479"/>
    <w:rsid w:val="00CD5364"/>
    <w:rsid w:val="00CD6AD5"/>
    <w:rsid w:val="00CD6EE1"/>
    <w:rsid w:val="00CE024B"/>
    <w:rsid w:val="00CE0B2E"/>
    <w:rsid w:val="00CE1315"/>
    <w:rsid w:val="00CE3863"/>
    <w:rsid w:val="00CE50DC"/>
    <w:rsid w:val="00CE5802"/>
    <w:rsid w:val="00CE6810"/>
    <w:rsid w:val="00CE6CB0"/>
    <w:rsid w:val="00CF0660"/>
    <w:rsid w:val="00CF06E3"/>
    <w:rsid w:val="00CF1691"/>
    <w:rsid w:val="00CF1A49"/>
    <w:rsid w:val="00CF684B"/>
    <w:rsid w:val="00D01238"/>
    <w:rsid w:val="00D01655"/>
    <w:rsid w:val="00D02E6A"/>
    <w:rsid w:val="00D02EDD"/>
    <w:rsid w:val="00D032CB"/>
    <w:rsid w:val="00D047DC"/>
    <w:rsid w:val="00D07BD6"/>
    <w:rsid w:val="00D129B7"/>
    <w:rsid w:val="00D163ED"/>
    <w:rsid w:val="00D17B2A"/>
    <w:rsid w:val="00D17E66"/>
    <w:rsid w:val="00D20AB0"/>
    <w:rsid w:val="00D237C1"/>
    <w:rsid w:val="00D33D30"/>
    <w:rsid w:val="00D35BE3"/>
    <w:rsid w:val="00D41A85"/>
    <w:rsid w:val="00D42428"/>
    <w:rsid w:val="00D44208"/>
    <w:rsid w:val="00D448C8"/>
    <w:rsid w:val="00D459A3"/>
    <w:rsid w:val="00D4671F"/>
    <w:rsid w:val="00D50869"/>
    <w:rsid w:val="00D53B05"/>
    <w:rsid w:val="00D61EE7"/>
    <w:rsid w:val="00D64C5D"/>
    <w:rsid w:val="00D72FD3"/>
    <w:rsid w:val="00D73F8E"/>
    <w:rsid w:val="00D754FA"/>
    <w:rsid w:val="00D80C01"/>
    <w:rsid w:val="00D840EE"/>
    <w:rsid w:val="00D85016"/>
    <w:rsid w:val="00D86AA8"/>
    <w:rsid w:val="00D8730D"/>
    <w:rsid w:val="00D909F7"/>
    <w:rsid w:val="00D93C09"/>
    <w:rsid w:val="00D94E9E"/>
    <w:rsid w:val="00DA4845"/>
    <w:rsid w:val="00DA6094"/>
    <w:rsid w:val="00DA642F"/>
    <w:rsid w:val="00DA7ECC"/>
    <w:rsid w:val="00DB40FF"/>
    <w:rsid w:val="00DB7A71"/>
    <w:rsid w:val="00DC187D"/>
    <w:rsid w:val="00DC2BE4"/>
    <w:rsid w:val="00DD487C"/>
    <w:rsid w:val="00DD4C9A"/>
    <w:rsid w:val="00DD680B"/>
    <w:rsid w:val="00DD6FF0"/>
    <w:rsid w:val="00DE1302"/>
    <w:rsid w:val="00DE1ABF"/>
    <w:rsid w:val="00DE1CE7"/>
    <w:rsid w:val="00DE3961"/>
    <w:rsid w:val="00DE653D"/>
    <w:rsid w:val="00DF0023"/>
    <w:rsid w:val="00DF15C5"/>
    <w:rsid w:val="00DF5D20"/>
    <w:rsid w:val="00E021CC"/>
    <w:rsid w:val="00E068E8"/>
    <w:rsid w:val="00E071BB"/>
    <w:rsid w:val="00E10BBA"/>
    <w:rsid w:val="00E150E0"/>
    <w:rsid w:val="00E15BC4"/>
    <w:rsid w:val="00E17513"/>
    <w:rsid w:val="00E20BD2"/>
    <w:rsid w:val="00E21C63"/>
    <w:rsid w:val="00E2299A"/>
    <w:rsid w:val="00E364CD"/>
    <w:rsid w:val="00E407F5"/>
    <w:rsid w:val="00E445CB"/>
    <w:rsid w:val="00E46C01"/>
    <w:rsid w:val="00E54CAF"/>
    <w:rsid w:val="00E56157"/>
    <w:rsid w:val="00E61C2C"/>
    <w:rsid w:val="00E628C8"/>
    <w:rsid w:val="00E802AB"/>
    <w:rsid w:val="00E8048D"/>
    <w:rsid w:val="00E81030"/>
    <w:rsid w:val="00E8392B"/>
    <w:rsid w:val="00E85428"/>
    <w:rsid w:val="00E85760"/>
    <w:rsid w:val="00E8684F"/>
    <w:rsid w:val="00E94EB4"/>
    <w:rsid w:val="00EA0261"/>
    <w:rsid w:val="00EA23EF"/>
    <w:rsid w:val="00EA73A1"/>
    <w:rsid w:val="00EA7955"/>
    <w:rsid w:val="00EB63F4"/>
    <w:rsid w:val="00EB79BF"/>
    <w:rsid w:val="00EC3AC7"/>
    <w:rsid w:val="00EC3D09"/>
    <w:rsid w:val="00EC758B"/>
    <w:rsid w:val="00ED4935"/>
    <w:rsid w:val="00EE3902"/>
    <w:rsid w:val="00EE67A9"/>
    <w:rsid w:val="00EF1946"/>
    <w:rsid w:val="00EF2D1C"/>
    <w:rsid w:val="00EF5E33"/>
    <w:rsid w:val="00F04FA7"/>
    <w:rsid w:val="00F0663F"/>
    <w:rsid w:val="00F14C89"/>
    <w:rsid w:val="00F1503E"/>
    <w:rsid w:val="00F161D9"/>
    <w:rsid w:val="00F1637C"/>
    <w:rsid w:val="00F20548"/>
    <w:rsid w:val="00F21A25"/>
    <w:rsid w:val="00F23C35"/>
    <w:rsid w:val="00F25295"/>
    <w:rsid w:val="00F3284D"/>
    <w:rsid w:val="00F5183A"/>
    <w:rsid w:val="00F51BC1"/>
    <w:rsid w:val="00F54217"/>
    <w:rsid w:val="00F5426C"/>
    <w:rsid w:val="00F57387"/>
    <w:rsid w:val="00F606E8"/>
    <w:rsid w:val="00F62A69"/>
    <w:rsid w:val="00F66A26"/>
    <w:rsid w:val="00F6786E"/>
    <w:rsid w:val="00F7144D"/>
    <w:rsid w:val="00F7328D"/>
    <w:rsid w:val="00F755E1"/>
    <w:rsid w:val="00F82187"/>
    <w:rsid w:val="00F83C56"/>
    <w:rsid w:val="00F85BAB"/>
    <w:rsid w:val="00FA0ABC"/>
    <w:rsid w:val="00FA201E"/>
    <w:rsid w:val="00FA235D"/>
    <w:rsid w:val="00FA5AA6"/>
    <w:rsid w:val="00FB02C1"/>
    <w:rsid w:val="00FB5D68"/>
    <w:rsid w:val="00FB69BC"/>
    <w:rsid w:val="00FB79A5"/>
    <w:rsid w:val="00FC2605"/>
    <w:rsid w:val="00FC32B6"/>
    <w:rsid w:val="00FC7117"/>
    <w:rsid w:val="00FD0026"/>
    <w:rsid w:val="00FD17A6"/>
    <w:rsid w:val="00FD474E"/>
    <w:rsid w:val="00FE1802"/>
    <w:rsid w:val="00FF3758"/>
    <w:rsid w:val="00FF47A7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dcterms:created xsi:type="dcterms:W3CDTF">2024-09-26T14:22:00Z</dcterms:created>
  <dcterms:modified xsi:type="dcterms:W3CDTF">2024-09-26T14:22:00Z</dcterms:modified>
</cp:coreProperties>
</file>