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18AF85" w14:textId="77777777" w:rsidR="007C726E" w:rsidRDefault="007C726E" w:rsidP="007C726E">
      <w:pPr>
        <w:rPr>
          <w:b/>
          <w:bCs/>
        </w:rPr>
      </w:pPr>
      <w:r w:rsidRPr="438B8011">
        <w:rPr>
          <w:b/>
          <w:bCs/>
        </w:rPr>
        <w:t>Construction and Design Law: Managing the Network of Interdependent Relationships</w:t>
      </w:r>
    </w:p>
    <w:p w14:paraId="4C1245F3" w14:textId="77777777" w:rsidR="007C726E" w:rsidRDefault="007C726E" w:rsidP="007C726E">
      <w:pPr>
        <w:jc w:val="center"/>
      </w:pPr>
    </w:p>
    <w:p w14:paraId="741263CD" w14:textId="77777777" w:rsidR="007C726E" w:rsidRDefault="007C726E" w:rsidP="007C726E">
      <w:pPr>
        <w:jc w:val="center"/>
      </w:pPr>
      <w:r>
        <w:t xml:space="preserve">Carl J. </w:t>
      </w:r>
      <w:proofErr w:type="spellStart"/>
      <w:r>
        <w:t>Circo</w:t>
      </w:r>
      <w:proofErr w:type="spellEnd"/>
    </w:p>
    <w:p w14:paraId="008B983A" w14:textId="77777777" w:rsidR="007C726E" w:rsidRDefault="007C726E" w:rsidP="007C726E">
      <w:pPr>
        <w:jc w:val="center"/>
      </w:pPr>
    </w:p>
    <w:p w14:paraId="065B9A27" w14:textId="6967FAC3" w:rsidR="007C726E" w:rsidRDefault="007C726E" w:rsidP="007C726E">
      <w:pPr>
        <w:keepNext/>
        <w:rPr>
          <w:b/>
          <w:bCs/>
        </w:rPr>
      </w:pPr>
      <w:r w:rsidRPr="636C9287">
        <w:rPr>
          <w:b/>
          <w:bCs/>
        </w:rPr>
        <w:t xml:space="preserve">Lesson </w:t>
      </w:r>
      <w:r w:rsidR="00A552BD">
        <w:rPr>
          <w:b/>
          <w:bCs/>
        </w:rPr>
        <w:t>7</w:t>
      </w:r>
      <w:r w:rsidRPr="636C9287">
        <w:rPr>
          <w:b/>
          <w:bCs/>
        </w:rPr>
        <w:t xml:space="preserve">: </w:t>
      </w:r>
      <w:r w:rsidR="00D01655">
        <w:rPr>
          <w:b/>
          <w:bCs/>
        </w:rPr>
        <w:t>Changes in Plans or Scope of Work</w:t>
      </w:r>
      <w:r w:rsidRPr="636C9287">
        <w:rPr>
          <w:b/>
          <w:bCs/>
        </w:rPr>
        <w:t xml:space="preserve"> </w:t>
      </w:r>
    </w:p>
    <w:p w14:paraId="03357CAD" w14:textId="77777777" w:rsidR="007C726E" w:rsidRPr="00BE1115" w:rsidRDefault="007C726E" w:rsidP="007C726E">
      <w:pPr>
        <w:keepNext/>
        <w:rPr>
          <w:b/>
          <w:bCs/>
        </w:rPr>
      </w:pPr>
    </w:p>
    <w:p w14:paraId="370CF72E" w14:textId="75310C6B" w:rsidR="009139E3" w:rsidRDefault="001F4B71">
      <w:pPr>
        <w:spacing w:after="160" w:line="259" w:lineRule="auto"/>
      </w:pPr>
      <w:r>
        <w:tab/>
      </w:r>
      <w:r w:rsidR="00E150E0">
        <w:t>In Lesson</w:t>
      </w:r>
      <w:r w:rsidR="00FD0026">
        <w:t xml:space="preserve"> 5</w:t>
      </w:r>
      <w:r w:rsidR="00E150E0">
        <w:t xml:space="preserve"> </w:t>
      </w:r>
      <w:r w:rsidR="0046652D">
        <w:t>we</w:t>
      </w:r>
      <w:r w:rsidR="00E150E0">
        <w:t xml:space="preserve"> considered Article </w:t>
      </w:r>
      <w:r w:rsidR="00FD0026">
        <w:t>7</w:t>
      </w:r>
      <w:r w:rsidR="00E150E0">
        <w:t xml:space="preserve"> o</w:t>
      </w:r>
      <w:r w:rsidR="00C8108E">
        <w:t>f</w:t>
      </w:r>
      <w:r w:rsidR="00E150E0">
        <w:t xml:space="preserve"> A201</w:t>
      </w:r>
      <w:r w:rsidR="00C8108E">
        <w:t xml:space="preserve">, </w:t>
      </w:r>
      <w:r w:rsidR="00BF1912">
        <w:t>which</w:t>
      </w:r>
      <w:r w:rsidR="00C8108E">
        <w:t xml:space="preserve"> govern</w:t>
      </w:r>
      <w:r w:rsidR="00BF1912">
        <w:t>s</w:t>
      </w:r>
      <w:r w:rsidR="00C8108E">
        <w:t xml:space="preserve"> changes in a design-bid-build project. Recall the distinctions </w:t>
      </w:r>
      <w:r w:rsidR="00855BE9">
        <w:t>Article 7</w:t>
      </w:r>
      <w:r w:rsidR="00C8108E">
        <w:t xml:space="preserve"> </w:t>
      </w:r>
      <w:r w:rsidR="0087193E">
        <w:t xml:space="preserve">makes </w:t>
      </w:r>
      <w:r w:rsidR="00AE4D7F">
        <w:t>between</w:t>
      </w:r>
      <w:r w:rsidR="00D86AA8">
        <w:t xml:space="preserve"> </w:t>
      </w:r>
      <w:r w:rsidR="0087193E">
        <w:t>“</w:t>
      </w:r>
      <w:r w:rsidR="00E56157">
        <w:t>C</w:t>
      </w:r>
      <w:r w:rsidR="0087193E">
        <w:t xml:space="preserve">hange </w:t>
      </w:r>
      <w:r w:rsidR="00E56157">
        <w:t>O</w:t>
      </w:r>
      <w:r w:rsidR="0087193E">
        <w:t>rder</w:t>
      </w:r>
      <w:r w:rsidR="00B42AAA">
        <w:t>s</w:t>
      </w:r>
      <w:r w:rsidR="0087193E">
        <w:t xml:space="preserve">” </w:t>
      </w:r>
      <w:r w:rsidR="00D459A3">
        <w:t>and</w:t>
      </w:r>
      <w:r w:rsidR="00D86AA8">
        <w:t xml:space="preserve"> “</w:t>
      </w:r>
      <w:r w:rsidR="00E56157">
        <w:t>C</w:t>
      </w:r>
      <w:r w:rsidR="008D21E3">
        <w:t>onstruction</w:t>
      </w:r>
      <w:r w:rsidR="00E56157">
        <w:t xml:space="preserve"> Change Directive</w:t>
      </w:r>
      <w:r w:rsidR="00B42AAA">
        <w:t>s</w:t>
      </w:r>
      <w:r w:rsidR="00BF1912">
        <w:t>.</w:t>
      </w:r>
      <w:r w:rsidR="00E61C2C">
        <w:t>”</w:t>
      </w:r>
      <w:r w:rsidR="00BF1912">
        <w:t xml:space="preserve"> </w:t>
      </w:r>
      <w:r w:rsidR="007E0A1B">
        <w:t xml:space="preserve">When the </w:t>
      </w:r>
      <w:r w:rsidR="00D047DC">
        <w:t xml:space="preserve">owner and the </w:t>
      </w:r>
      <w:r w:rsidR="00A25A54">
        <w:t>contractor</w:t>
      </w:r>
      <w:r w:rsidR="007E0A1B">
        <w:t xml:space="preserve"> </w:t>
      </w:r>
      <w:r w:rsidR="005C4A80">
        <w:t xml:space="preserve">agree on the </w:t>
      </w:r>
      <w:r w:rsidR="004A7A32">
        <w:t>pricing</w:t>
      </w:r>
      <w:r w:rsidR="005C4A80">
        <w:t xml:space="preserve"> and schedule impacts of a change, they should </w:t>
      </w:r>
      <w:r w:rsidR="00D163ED">
        <w:t xml:space="preserve">amend the contract by agreeing to a change order that </w:t>
      </w:r>
      <w:r w:rsidR="00E8048D">
        <w:t xml:space="preserve">specifies </w:t>
      </w:r>
      <w:r w:rsidR="00D163ED">
        <w:t xml:space="preserve">both the change and </w:t>
      </w:r>
      <w:r w:rsidR="000F0508">
        <w:t>those impacts.</w:t>
      </w:r>
      <w:r w:rsidR="00D163ED">
        <w:t xml:space="preserve"> </w:t>
      </w:r>
      <w:r w:rsidR="00D047DC">
        <w:t>F</w:t>
      </w:r>
      <w:r w:rsidR="000F0508">
        <w:t xml:space="preserve">or </w:t>
      </w:r>
      <w:r w:rsidR="00A24AE0">
        <w:t>all but the simplest project</w:t>
      </w:r>
      <w:r w:rsidR="003A0C9F">
        <w:t>s</w:t>
      </w:r>
      <w:r w:rsidR="00A24AE0">
        <w:t>,</w:t>
      </w:r>
      <w:r w:rsidR="00D047DC">
        <w:t xml:space="preserve"> however,</w:t>
      </w:r>
      <w:r w:rsidR="00A67AAE">
        <w:t xml:space="preserve"> </w:t>
      </w:r>
      <w:r w:rsidR="00A25A54">
        <w:t>the parties</w:t>
      </w:r>
      <w:r w:rsidR="00A67AAE">
        <w:t xml:space="preserve"> </w:t>
      </w:r>
      <w:r w:rsidR="00A25A54">
        <w:t>must</w:t>
      </w:r>
      <w:r w:rsidR="00A67AAE">
        <w:t xml:space="preserve"> </w:t>
      </w:r>
      <w:r w:rsidR="00A24AE0">
        <w:t>anticipate</w:t>
      </w:r>
      <w:r w:rsidR="00A67AAE">
        <w:t xml:space="preserve"> that</w:t>
      </w:r>
      <w:r w:rsidR="004E0367">
        <w:t xml:space="preserve"> circumstances </w:t>
      </w:r>
      <w:r w:rsidR="00B34EB8">
        <w:t>may</w:t>
      </w:r>
      <w:r w:rsidR="004E0367">
        <w:t xml:space="preserve"> </w:t>
      </w:r>
      <w:r w:rsidR="00B34EB8">
        <w:t>require that</w:t>
      </w:r>
      <w:r w:rsidR="008E7FFE">
        <w:t xml:space="preserve"> </w:t>
      </w:r>
      <w:r w:rsidR="002E5B6D">
        <w:t>some</w:t>
      </w:r>
      <w:r w:rsidR="008E7FFE">
        <w:t xml:space="preserve"> </w:t>
      </w:r>
      <w:r w:rsidR="00A24AE0">
        <w:t>changes</w:t>
      </w:r>
      <w:r w:rsidR="00611FD5">
        <w:t xml:space="preserve"> be implemented</w:t>
      </w:r>
      <w:r w:rsidR="006B237E">
        <w:t xml:space="preserve"> </w:t>
      </w:r>
      <w:r w:rsidR="00E85428">
        <w:t>promptly</w:t>
      </w:r>
      <w:r w:rsidR="00FF65BB">
        <w:t xml:space="preserve"> </w:t>
      </w:r>
      <w:r w:rsidR="0004208A">
        <w:t>even if</w:t>
      </w:r>
      <w:r w:rsidR="00FF65BB">
        <w:t xml:space="preserve"> the </w:t>
      </w:r>
      <w:r w:rsidR="00EA23EF">
        <w:t>pricing</w:t>
      </w:r>
      <w:r w:rsidR="00FF65BB">
        <w:t xml:space="preserve"> and schedule impacts </w:t>
      </w:r>
      <w:r w:rsidR="0004208A">
        <w:t>must</w:t>
      </w:r>
      <w:r w:rsidR="00FF65BB">
        <w:t xml:space="preserve"> be resolved </w:t>
      </w:r>
      <w:r w:rsidR="00253C0D">
        <w:t xml:space="preserve">later pursuant to </w:t>
      </w:r>
      <w:r w:rsidR="00FF65BB">
        <w:t>an agreed process</w:t>
      </w:r>
      <w:r w:rsidR="00253C0D">
        <w:t>.</w:t>
      </w:r>
      <w:r w:rsidR="00B61001">
        <w:t xml:space="preserve"> </w:t>
      </w:r>
      <w:r w:rsidR="007A5CC7">
        <w:t>A201</w:t>
      </w:r>
      <w:r w:rsidR="000709AD">
        <w:t xml:space="preserve">’s </w:t>
      </w:r>
      <w:r w:rsidR="007A5CC7">
        <w:t xml:space="preserve">Construction Change Directive </w:t>
      </w:r>
      <w:r w:rsidR="00DD4C9A">
        <w:t xml:space="preserve">provisions govern </w:t>
      </w:r>
      <w:r w:rsidR="00B66E06">
        <w:t>that</w:t>
      </w:r>
      <w:r w:rsidR="00DD4C9A">
        <w:t xml:space="preserve"> second kind of change. </w:t>
      </w:r>
      <w:r w:rsidR="0019572F">
        <w:t>With variations in terminology and procedures, o</w:t>
      </w:r>
      <w:r w:rsidR="00926D61">
        <w:t>ther</w:t>
      </w:r>
      <w:r w:rsidR="00D459A3">
        <w:t xml:space="preserve"> standard</w:t>
      </w:r>
      <w:r w:rsidR="00926D61">
        <w:t xml:space="preserve"> industry forms</w:t>
      </w:r>
      <w:r w:rsidR="00E46C01">
        <w:t xml:space="preserve"> </w:t>
      </w:r>
      <w:r w:rsidR="00B66E06">
        <w:t>routinely</w:t>
      </w:r>
      <w:r w:rsidR="00E46C01">
        <w:t xml:space="preserve"> </w:t>
      </w:r>
      <w:r w:rsidR="00D047DC">
        <w:t>provide</w:t>
      </w:r>
      <w:r w:rsidR="00926D61">
        <w:t xml:space="preserve"> </w:t>
      </w:r>
      <w:r w:rsidR="001201EB">
        <w:t>similar</w:t>
      </w:r>
      <w:r w:rsidR="00943D16">
        <w:t xml:space="preserve"> provisions </w:t>
      </w:r>
      <w:r w:rsidR="00DD4C9A">
        <w:t xml:space="preserve">for </w:t>
      </w:r>
      <w:r w:rsidR="00B5371B">
        <w:t xml:space="preserve">making changes when </w:t>
      </w:r>
      <w:r w:rsidR="00AE6508">
        <w:t>a complete change order is not feasible</w:t>
      </w:r>
      <w:r w:rsidR="007742E9">
        <w:t>.</w:t>
      </w:r>
      <w:r w:rsidR="00D42428">
        <w:t xml:space="preserve"> In this way,</w:t>
      </w:r>
      <w:r w:rsidR="003C57D2">
        <w:t xml:space="preserve"> </w:t>
      </w:r>
      <w:r w:rsidR="007F66A7">
        <w:t xml:space="preserve">provided that the </w:t>
      </w:r>
      <w:r w:rsidR="009510C4">
        <w:t>contractual change provisions work as planned,</w:t>
      </w:r>
      <w:r w:rsidR="00D42428">
        <w:t xml:space="preserve"> </w:t>
      </w:r>
      <w:r w:rsidR="00404609">
        <w:t>orderly construction can proceed</w:t>
      </w:r>
      <w:r w:rsidR="00F1637C">
        <w:t xml:space="preserve"> when</w:t>
      </w:r>
      <w:r w:rsidR="00404609">
        <w:t xml:space="preserve"> </w:t>
      </w:r>
      <w:r w:rsidR="00D42428">
        <w:t>the</w:t>
      </w:r>
      <w:r w:rsidR="00D129B7">
        <w:t xml:space="preserve"> owner</w:t>
      </w:r>
      <w:r w:rsidR="00074BBB">
        <w:t xml:space="preserve"> </w:t>
      </w:r>
      <w:r w:rsidR="00F1637C">
        <w:t>unilaterally directs a change</w:t>
      </w:r>
      <w:r w:rsidR="007F66A7">
        <w:t>.</w:t>
      </w:r>
      <w:r w:rsidR="00056231">
        <w:t xml:space="preserve"> </w:t>
      </w:r>
      <w:r w:rsidR="00BC2996">
        <w:t>From an efficiency</w:t>
      </w:r>
      <w:r w:rsidR="00080649">
        <w:t xml:space="preserve"> perspective, t</w:t>
      </w:r>
      <w:r w:rsidR="00090A47">
        <w:t>his approach</w:t>
      </w:r>
      <w:r w:rsidR="00056231">
        <w:t xml:space="preserve"> </w:t>
      </w:r>
      <w:r w:rsidR="00BC2996">
        <w:t>functions reasonably well</w:t>
      </w:r>
      <w:r w:rsidR="00056231">
        <w:t xml:space="preserve"> even </w:t>
      </w:r>
      <w:r w:rsidR="00781AB5">
        <w:t>when</w:t>
      </w:r>
      <w:r w:rsidR="00056231">
        <w:t xml:space="preserve"> </w:t>
      </w:r>
      <w:r w:rsidR="006611D6">
        <w:t xml:space="preserve">the parties </w:t>
      </w:r>
      <w:r w:rsidR="00AA61E0">
        <w:t xml:space="preserve">ultimately </w:t>
      </w:r>
      <w:r w:rsidR="006611D6">
        <w:t>must resort to litigation or another dispute resolution process</w:t>
      </w:r>
      <w:r w:rsidR="004C6A70">
        <w:t xml:space="preserve"> to settle their </w:t>
      </w:r>
      <w:r w:rsidR="00056231">
        <w:t xml:space="preserve">disagreements over the correct </w:t>
      </w:r>
      <w:r w:rsidR="00080649">
        <w:t>pricing</w:t>
      </w:r>
      <w:r w:rsidR="00056231">
        <w:t xml:space="preserve"> and schedule </w:t>
      </w:r>
      <w:r w:rsidR="00B91FF6">
        <w:t>impacts</w:t>
      </w:r>
      <w:r w:rsidR="00781AB5">
        <w:t>.</w:t>
      </w:r>
      <w:r w:rsidR="009510C4">
        <w:t xml:space="preserve"> </w:t>
      </w:r>
      <w:r w:rsidR="00812965">
        <w:t>Unfortunately,</w:t>
      </w:r>
      <w:r w:rsidR="005C6B3E">
        <w:t xml:space="preserve"> the change process </w:t>
      </w:r>
      <w:r w:rsidR="002B3C14">
        <w:t xml:space="preserve">itself </w:t>
      </w:r>
      <w:r w:rsidR="005C6B3E">
        <w:t xml:space="preserve">sometimes breaks down. </w:t>
      </w:r>
      <w:r w:rsidR="00812965">
        <w:t xml:space="preserve"> </w:t>
      </w:r>
    </w:p>
    <w:p w14:paraId="3F1F87EE" w14:textId="309E9D03" w:rsidR="00887CCC" w:rsidRDefault="00887CCC">
      <w:pPr>
        <w:spacing w:after="160" w:line="259" w:lineRule="auto"/>
      </w:pPr>
      <w:r>
        <w:tab/>
      </w:r>
      <w:r w:rsidR="000F3A82">
        <w:t xml:space="preserve">The problems typically fall into one of four categories. First, </w:t>
      </w:r>
      <w:r w:rsidR="001E71F9">
        <w:t xml:space="preserve">one or both parties may fail to follow </w:t>
      </w:r>
      <w:r w:rsidR="00D17E66">
        <w:t xml:space="preserve">the contractual </w:t>
      </w:r>
      <w:r w:rsidR="00AE1DFF">
        <w:t xml:space="preserve">timing or notice </w:t>
      </w:r>
      <w:r w:rsidR="00D17E66">
        <w:t>procedures</w:t>
      </w:r>
      <w:r w:rsidR="00AE46DD">
        <w:t>. Th</w:t>
      </w:r>
      <w:r w:rsidR="008C5CE7">
        <w:t xml:space="preserve">is often </w:t>
      </w:r>
      <w:r w:rsidR="008A70C6">
        <w:t>lead</w:t>
      </w:r>
      <w:r w:rsidR="008C5CE7">
        <w:t>s</w:t>
      </w:r>
      <w:r w:rsidR="008A70C6">
        <w:t xml:space="preserve"> to </w:t>
      </w:r>
      <w:r w:rsidR="008C5CE7">
        <w:t>difficult questions about</w:t>
      </w:r>
      <w:r w:rsidR="00A03F4C">
        <w:t xml:space="preserve"> whether</w:t>
      </w:r>
      <w:r w:rsidR="00D032CB">
        <w:t xml:space="preserve"> </w:t>
      </w:r>
      <w:r w:rsidR="003E2999">
        <w:t xml:space="preserve">(1) </w:t>
      </w:r>
      <w:r w:rsidR="00D032CB">
        <w:t>one or both parties have waived the contractual procedures (or should be equitably estopped from</w:t>
      </w:r>
      <w:r w:rsidR="003E2999">
        <w:t xml:space="preserve"> </w:t>
      </w:r>
      <w:r w:rsidR="00DA6094">
        <w:t>relying on those procedures) or (2)</w:t>
      </w:r>
      <w:r w:rsidR="00A03F4C">
        <w:t xml:space="preserve"> t</w:t>
      </w:r>
      <w:r w:rsidR="00A968F8">
        <w:t xml:space="preserve">he contractor has forfeited </w:t>
      </w:r>
      <w:r w:rsidR="006F47CF">
        <w:t>the</w:t>
      </w:r>
      <w:r w:rsidR="00A968F8">
        <w:t xml:space="preserve"> right to pric</w:t>
      </w:r>
      <w:r w:rsidR="008732D3">
        <w:t>ing</w:t>
      </w:r>
      <w:r w:rsidR="00A968F8">
        <w:t xml:space="preserve"> and schedule adjustments attributable to the change</w:t>
      </w:r>
      <w:r w:rsidR="00A03F4C">
        <w:t xml:space="preserve"> </w:t>
      </w:r>
      <w:r w:rsidR="00D17E66">
        <w:t xml:space="preserve"> </w:t>
      </w:r>
      <w:r w:rsidR="000D07E9">
        <w:t xml:space="preserve">Second, </w:t>
      </w:r>
      <w:r w:rsidR="001E71F9">
        <w:t xml:space="preserve">the </w:t>
      </w:r>
      <w:r w:rsidR="00745508">
        <w:t>contractor</w:t>
      </w:r>
      <w:r w:rsidR="001E71F9">
        <w:t xml:space="preserve"> may believe that </w:t>
      </w:r>
      <w:r w:rsidR="002665C5">
        <w:t xml:space="preserve">the </w:t>
      </w:r>
      <w:r w:rsidR="001E71F9">
        <w:t>owner is abusing the unilateral change process by forcing or attempting to order</w:t>
      </w:r>
      <w:r w:rsidR="002665C5">
        <w:t xml:space="preserve"> a</w:t>
      </w:r>
      <w:r w:rsidR="001E71F9">
        <w:t xml:space="preserve"> change</w:t>
      </w:r>
      <w:r w:rsidR="002665C5">
        <w:t xml:space="preserve"> that goes beyond</w:t>
      </w:r>
      <w:r w:rsidR="001E71F9">
        <w:t xml:space="preserve"> the general scope of work the parties originally contemplated. The courts developed the “cardinal change” doctrine to provide appropriate remedies for the </w:t>
      </w:r>
      <w:r w:rsidR="00995C4D">
        <w:t>contractor</w:t>
      </w:r>
      <w:r w:rsidR="001E71F9">
        <w:t xml:space="preserve"> in these situations. In effect, an owner </w:t>
      </w:r>
      <w:r w:rsidR="003D31AA">
        <w:t xml:space="preserve">who orders or forces a cardinal change </w:t>
      </w:r>
      <w:r w:rsidR="001E71F9">
        <w:t>breach</w:t>
      </w:r>
      <w:r w:rsidR="003D31AA">
        <w:t>es</w:t>
      </w:r>
      <w:r w:rsidR="001E71F9">
        <w:t xml:space="preserve"> the contract.</w:t>
      </w:r>
      <w:r w:rsidR="00DA6094">
        <w:t xml:space="preserve"> Third,</w:t>
      </w:r>
      <w:r w:rsidR="00C670B4">
        <w:t xml:space="preserve"> </w:t>
      </w:r>
      <w:r w:rsidR="00CB0800">
        <w:t>a</w:t>
      </w:r>
      <w:r w:rsidR="003F2E76">
        <w:t xml:space="preserve"> “constructive change” may occur when</w:t>
      </w:r>
      <w:r w:rsidR="00FA235D">
        <w:t xml:space="preserve"> </w:t>
      </w:r>
      <w:r w:rsidR="00C670B4">
        <w:t>the owner’s</w:t>
      </w:r>
      <w:r w:rsidR="00DA6094">
        <w:t xml:space="preserve"> </w:t>
      </w:r>
      <w:r w:rsidR="00CB2FAA">
        <w:t>directions, complaints,</w:t>
      </w:r>
      <w:r w:rsidR="00C670B4">
        <w:t xml:space="preserve"> or other behavior</w:t>
      </w:r>
      <w:r w:rsidR="002808B5">
        <w:t>s</w:t>
      </w:r>
      <w:r w:rsidR="00C670B4">
        <w:t xml:space="preserve"> </w:t>
      </w:r>
      <w:r w:rsidR="003F2E76">
        <w:t>induce</w:t>
      </w:r>
      <w:r w:rsidR="00C670B4">
        <w:t xml:space="preserve"> the </w:t>
      </w:r>
      <w:r w:rsidR="000275AE">
        <w:t>contractor</w:t>
      </w:r>
      <w:r w:rsidR="00C670B4">
        <w:t xml:space="preserve"> to make</w:t>
      </w:r>
      <w:r w:rsidR="00662FD4">
        <w:t xml:space="preserve"> a</w:t>
      </w:r>
      <w:r w:rsidR="00C670B4">
        <w:t xml:space="preserve"> change</w:t>
      </w:r>
      <w:r w:rsidR="00F66A26">
        <w:t xml:space="preserve"> but the owner </w:t>
      </w:r>
      <w:r w:rsidR="00486ACC">
        <w:t xml:space="preserve">refuses to </w:t>
      </w:r>
      <w:r w:rsidR="002A573E">
        <w:t>negotiate a change order or to i</w:t>
      </w:r>
      <w:r w:rsidR="00432C8C">
        <w:t>nitiate the process for documenting a</w:t>
      </w:r>
      <w:r w:rsidR="002A573E">
        <w:t xml:space="preserve"> unilateral change</w:t>
      </w:r>
      <w:r w:rsidR="00432C8C">
        <w:t>.</w:t>
      </w:r>
      <w:r w:rsidR="00977A3A">
        <w:t xml:space="preserve"> Fourth, </w:t>
      </w:r>
      <w:r w:rsidR="00CE3863">
        <w:t xml:space="preserve">certain </w:t>
      </w:r>
      <w:r w:rsidR="00977A3A">
        <w:t>unanticipated circumstances</w:t>
      </w:r>
      <w:r w:rsidR="00CE3863">
        <w:t xml:space="preserve"> may trigger </w:t>
      </w:r>
      <w:r w:rsidR="004A640B">
        <w:t>the contractor’s right to a</w:t>
      </w:r>
      <w:r w:rsidR="00970563">
        <w:t xml:space="preserve">n equitable adjustment </w:t>
      </w:r>
      <w:r w:rsidR="004A640B">
        <w:t xml:space="preserve">under </w:t>
      </w:r>
      <w:r w:rsidR="00CE3863">
        <w:t xml:space="preserve">a distinct contractual </w:t>
      </w:r>
      <w:r w:rsidR="00970563">
        <w:t>provision</w:t>
      </w:r>
      <w:r w:rsidR="003078B4">
        <w:t xml:space="preserve">, </w:t>
      </w:r>
      <w:r w:rsidR="004523BB">
        <w:t>commonly called</w:t>
      </w:r>
      <w:r w:rsidR="00970563">
        <w:t xml:space="preserve"> a</w:t>
      </w:r>
      <w:r w:rsidR="003078B4">
        <w:t xml:space="preserve"> “differing site conditions”</w:t>
      </w:r>
      <w:r w:rsidR="00CE3863">
        <w:t xml:space="preserve"> </w:t>
      </w:r>
      <w:r w:rsidR="00970563">
        <w:t>c</w:t>
      </w:r>
      <w:r w:rsidR="004523BB">
        <w:t xml:space="preserve">lause. This lesson </w:t>
      </w:r>
      <w:r w:rsidR="0095161E">
        <w:t>considers the first three situations. Lesson 8</w:t>
      </w:r>
      <w:r w:rsidR="00397A79">
        <w:t xml:space="preserve"> (Concealed Conditions) covers the fourth one</w:t>
      </w:r>
      <w:r w:rsidR="0093345A">
        <w:t>.</w:t>
      </w:r>
    </w:p>
    <w:p w14:paraId="334CCC23" w14:textId="37078FA3" w:rsidR="0093345A" w:rsidRDefault="0093345A">
      <w:pPr>
        <w:spacing w:after="160" w:line="259" w:lineRule="auto"/>
      </w:pPr>
      <w:r>
        <w:tab/>
      </w:r>
      <w:r w:rsidR="00792273">
        <w:t xml:space="preserve">To explore </w:t>
      </w:r>
      <w:r w:rsidR="00964FB3">
        <w:t>procedural problems</w:t>
      </w:r>
      <w:r w:rsidR="005B31CF">
        <w:t>, cardinal changes, and constructive changes</w:t>
      </w:r>
      <w:r w:rsidR="00CE5802">
        <w:t>, read the following</w:t>
      </w:r>
      <w:r w:rsidR="005B31CF">
        <w:t>:</w:t>
      </w:r>
    </w:p>
    <w:p w14:paraId="49B91622" w14:textId="77777777" w:rsidR="00362054" w:rsidRDefault="005B31CF" w:rsidP="005B31CF">
      <w:pPr>
        <w:pStyle w:val="ListParagraph"/>
        <w:numPr>
          <w:ilvl w:val="0"/>
          <w:numId w:val="2"/>
        </w:numPr>
        <w:spacing w:after="160" w:line="259" w:lineRule="auto"/>
      </w:pPr>
      <w:r w:rsidRPr="00561025">
        <w:rPr>
          <w:i/>
        </w:rPr>
        <w:t xml:space="preserve">Watson Lumber Company v. </w:t>
      </w:r>
      <w:proofErr w:type="spellStart"/>
      <w:r w:rsidRPr="00561025">
        <w:rPr>
          <w:i/>
        </w:rPr>
        <w:t>Guennewig</w:t>
      </w:r>
      <w:proofErr w:type="spellEnd"/>
      <w:r w:rsidRPr="005C6A6F">
        <w:t>, 226 N.E.2d 270 (Ill. App. Ct. 1967)</w:t>
      </w:r>
      <w:r w:rsidRPr="00F2305A">
        <w:t>.</w:t>
      </w:r>
    </w:p>
    <w:p w14:paraId="60A4C49B" w14:textId="065D70B2" w:rsidR="005B31CF" w:rsidRDefault="005B31CF" w:rsidP="00362054">
      <w:pPr>
        <w:pStyle w:val="ListParagraph"/>
        <w:spacing w:after="160" w:line="259" w:lineRule="auto"/>
      </w:pPr>
      <w:r>
        <w:t xml:space="preserve">This is a classic case illustrating how changes can get out of hand and how problems can be amplified </w:t>
      </w:r>
      <w:r w:rsidR="00016CEE">
        <w:t>when</w:t>
      </w:r>
      <w:r>
        <w:t xml:space="preserve"> the parties do not adhere to the contract’s notice and claim procedures. </w:t>
      </w:r>
      <w:r w:rsidR="009F2A01">
        <w:lastRenderedPageBreak/>
        <w:t>While the case involve</w:t>
      </w:r>
      <w:r w:rsidR="006552EE">
        <w:t>d</w:t>
      </w:r>
      <w:r>
        <w:t xml:space="preserve"> a </w:t>
      </w:r>
      <w:r w:rsidR="009F2A01">
        <w:t xml:space="preserve">relatively </w:t>
      </w:r>
      <w:r>
        <w:t>small residential project</w:t>
      </w:r>
      <w:r w:rsidR="009F2A01">
        <w:t>, the same issues often arise in</w:t>
      </w:r>
      <w:r>
        <w:t xml:space="preserve"> major commercial one</w:t>
      </w:r>
      <w:r w:rsidR="009F2A01">
        <w:t>s</w:t>
      </w:r>
      <w:r>
        <w:t>.</w:t>
      </w:r>
    </w:p>
    <w:p w14:paraId="6DD8E05C" w14:textId="77777777" w:rsidR="00160618" w:rsidRDefault="00160618" w:rsidP="00160618">
      <w:pPr>
        <w:pStyle w:val="ListParagraph"/>
        <w:spacing w:after="160" w:line="259" w:lineRule="auto"/>
      </w:pPr>
    </w:p>
    <w:p w14:paraId="1D4C17E9" w14:textId="77777777" w:rsidR="00AE5842" w:rsidRDefault="00160618" w:rsidP="00803E49">
      <w:pPr>
        <w:pStyle w:val="ListParagraph"/>
        <w:keepNext/>
        <w:numPr>
          <w:ilvl w:val="0"/>
          <w:numId w:val="2"/>
        </w:numPr>
        <w:spacing w:line="259" w:lineRule="auto"/>
      </w:pPr>
      <w:r w:rsidRPr="00C7158D">
        <w:rPr>
          <w:i/>
          <w:iCs/>
        </w:rPr>
        <w:t>Change orders v Construction Change Directives: The Devil Is in the Details</w:t>
      </w:r>
      <w:r>
        <w:t xml:space="preserve">, </w:t>
      </w:r>
      <w:r w:rsidR="003062D7">
        <w:t xml:space="preserve">36 </w:t>
      </w:r>
      <w:r>
        <w:t>Constr. Law. 34 (Winter 2016), by William B. Westcott.</w:t>
      </w:r>
    </w:p>
    <w:p w14:paraId="67EF5CE8" w14:textId="3109C3F6" w:rsidR="00160618" w:rsidRDefault="00160618" w:rsidP="006847BA">
      <w:pPr>
        <w:spacing w:after="160" w:line="259" w:lineRule="auto"/>
        <w:ind w:left="720"/>
        <w:contextualSpacing/>
      </w:pPr>
      <w:r>
        <w:t>Th</w:t>
      </w:r>
      <w:r w:rsidR="00C27BC9">
        <w:t>is</w:t>
      </w:r>
      <w:r>
        <w:t xml:space="preserve"> article </w:t>
      </w:r>
      <w:r w:rsidR="0056635F">
        <w:t>considers changes primarily from the builder’s perspective</w:t>
      </w:r>
      <w:r w:rsidR="00126092">
        <w:t>.</w:t>
      </w:r>
      <w:r w:rsidR="002B1227">
        <w:t xml:space="preserve"> </w:t>
      </w:r>
      <w:r w:rsidR="00F85BAB">
        <w:t>After briefly summarizing the AIA approach (based on the 2007 version of A201)</w:t>
      </w:r>
      <w:r w:rsidR="00C702B6">
        <w:t>, the author</w:t>
      </w:r>
      <w:r w:rsidR="002B1227">
        <w:t xml:space="preserve"> </w:t>
      </w:r>
      <w:r>
        <w:t xml:space="preserve">focuses on </w:t>
      </w:r>
      <w:r w:rsidR="00557C98">
        <w:t xml:space="preserve">the </w:t>
      </w:r>
      <w:r>
        <w:t>cardinal change</w:t>
      </w:r>
      <w:r w:rsidR="00557C98">
        <w:t xml:space="preserve"> doctrine</w:t>
      </w:r>
      <w:r>
        <w:t xml:space="preserve">, </w:t>
      </w:r>
      <w:r w:rsidR="00557C98">
        <w:t>which</w:t>
      </w:r>
      <w:r w:rsidR="00193379">
        <w:t xml:space="preserve"> serves as a </w:t>
      </w:r>
      <w:r>
        <w:t xml:space="preserve">guardrail against </w:t>
      </w:r>
      <w:r w:rsidR="00193379">
        <w:t>the potential abuse of</w:t>
      </w:r>
      <w:r>
        <w:t xml:space="preserve"> </w:t>
      </w:r>
      <w:r w:rsidR="00193379">
        <w:t xml:space="preserve">an owner’s </w:t>
      </w:r>
      <w:r>
        <w:t xml:space="preserve">unilateral change </w:t>
      </w:r>
      <w:r w:rsidR="00193379">
        <w:t>authority</w:t>
      </w:r>
      <w:r>
        <w:t xml:space="preserve">. </w:t>
      </w:r>
      <w:r w:rsidR="00AF1241">
        <w:t xml:space="preserve">The author proposes modifications to the AIA provisions to </w:t>
      </w:r>
      <w:r w:rsidR="003767DB">
        <w:t>simplify the challenge of</w:t>
      </w:r>
      <w:r w:rsidR="00AF1241">
        <w:t xml:space="preserve"> determining when an owner’s unilateral direction goes so far beyond the “general scope” of the original contract that it amounts to a cardinal change. </w:t>
      </w:r>
      <w:r w:rsidR="002B1227">
        <w:t>The author</w:t>
      </w:r>
      <w:r w:rsidR="00BB16EC">
        <w:t xml:space="preserve"> </w:t>
      </w:r>
      <w:r w:rsidR="005A47F3">
        <w:t>then</w:t>
      </w:r>
      <w:r>
        <w:t xml:space="preserve"> discusses how a </w:t>
      </w:r>
      <w:r w:rsidR="002B1227">
        <w:t>builder</w:t>
      </w:r>
      <w:r>
        <w:t xml:space="preserve"> can </w:t>
      </w:r>
      <w:r w:rsidR="00DB7A71">
        <w:t>address risks associated with</w:t>
      </w:r>
      <w:r>
        <w:t xml:space="preserve"> construction change directive</w:t>
      </w:r>
      <w:r w:rsidR="00DB7A71">
        <w:t>s</w:t>
      </w:r>
      <w:r w:rsidR="00D4671F">
        <w:t xml:space="preserve"> in ways that can</w:t>
      </w:r>
      <w:r>
        <w:t xml:space="preserve"> preserve the relationship</w:t>
      </w:r>
      <w:r w:rsidR="00811698">
        <w:t xml:space="preserve"> with the owner</w:t>
      </w:r>
      <w:r>
        <w:t>, avoid the risk of being in default</w:t>
      </w:r>
      <w:r w:rsidR="00D4671F">
        <w:t xml:space="preserve"> for refusing to follow a directive</w:t>
      </w:r>
      <w:r>
        <w:t xml:space="preserve">, and yet protect the right to appropriate </w:t>
      </w:r>
      <w:r w:rsidR="00811698">
        <w:t>pric</w:t>
      </w:r>
      <w:r w:rsidR="007A093F">
        <w:t>ing and scheduling</w:t>
      </w:r>
      <w:r w:rsidR="00811698">
        <w:t xml:space="preserve"> </w:t>
      </w:r>
      <w:r>
        <w:t>adjustment</w:t>
      </w:r>
      <w:r w:rsidR="00A4774A">
        <w:t>s</w:t>
      </w:r>
      <w:r w:rsidR="00811698">
        <w:t>.</w:t>
      </w:r>
      <w:r>
        <w:t xml:space="preserve"> (</w:t>
      </w:r>
      <w:r w:rsidR="003A0D72">
        <w:t>On this final point,</w:t>
      </w:r>
      <w:r>
        <w:t xml:space="preserve"> the</w:t>
      </w:r>
      <w:r w:rsidR="007F0CB5">
        <w:t xml:space="preserve"> author’s “Paper the Change” </w:t>
      </w:r>
      <w:r w:rsidR="00EB63F4">
        <w:t>advice</w:t>
      </w:r>
      <w:r>
        <w:t xml:space="preserve"> focuses </w:t>
      </w:r>
      <w:r w:rsidR="00C0332A">
        <w:t>mostly</w:t>
      </w:r>
      <w:r w:rsidR="00A4774A">
        <w:t xml:space="preserve"> </w:t>
      </w:r>
      <w:r>
        <w:t>on price</w:t>
      </w:r>
      <w:r w:rsidR="009367A8">
        <w:t xml:space="preserve"> adjustments</w:t>
      </w:r>
      <w:r>
        <w:t xml:space="preserve">, </w:t>
      </w:r>
      <w:r w:rsidR="003A0D72">
        <w:t xml:space="preserve">but you should recognize </w:t>
      </w:r>
      <w:r w:rsidR="004863D5">
        <w:t xml:space="preserve">that </w:t>
      </w:r>
      <w:r w:rsidR="001036F5">
        <w:t>schedule impacts can be equally important</w:t>
      </w:r>
      <w:r w:rsidR="00695C3B">
        <w:t xml:space="preserve"> from the contractor’s perspective</w:t>
      </w:r>
      <w:r>
        <w:t>.</w:t>
      </w:r>
      <w:r w:rsidR="001036F5">
        <w:t>)</w:t>
      </w:r>
      <w:r w:rsidR="009C3516">
        <w:t xml:space="preserve"> </w:t>
      </w:r>
      <w:r w:rsidR="007F0CB5">
        <w:t xml:space="preserve"> </w:t>
      </w:r>
    </w:p>
    <w:p w14:paraId="7BAC8966" w14:textId="77777777" w:rsidR="00DE653D" w:rsidRDefault="0024139E" w:rsidP="004D0A48">
      <w:pPr>
        <w:pStyle w:val="ListParagraph"/>
        <w:numPr>
          <w:ilvl w:val="0"/>
          <w:numId w:val="2"/>
        </w:numPr>
        <w:spacing w:after="160" w:line="259" w:lineRule="auto"/>
      </w:pPr>
      <w:r w:rsidRPr="00561025">
        <w:rPr>
          <w:i/>
          <w:iCs/>
        </w:rPr>
        <w:t>Kiewit Infrastructure W</w:t>
      </w:r>
      <w:r w:rsidR="00E407F5" w:rsidRPr="00561025">
        <w:rPr>
          <w:i/>
          <w:iCs/>
        </w:rPr>
        <w:t>est</w:t>
      </w:r>
      <w:r w:rsidRPr="00561025">
        <w:rPr>
          <w:i/>
          <w:iCs/>
        </w:rPr>
        <w:t xml:space="preserve"> Co. v. United States</w:t>
      </w:r>
      <w:r w:rsidRPr="00FB79A5">
        <w:t>, 972 F.3d 1322 (Fed. Cir. 2020)</w:t>
      </w:r>
      <w:r w:rsidR="00DE653D">
        <w:t>.</w:t>
      </w:r>
    </w:p>
    <w:p w14:paraId="3786DFA1" w14:textId="6717F1FC" w:rsidR="00FB79A5" w:rsidRPr="004D0A48" w:rsidRDefault="0024139E" w:rsidP="00DE653D">
      <w:pPr>
        <w:pStyle w:val="ListParagraph"/>
        <w:spacing w:after="160" w:line="259" w:lineRule="auto"/>
      </w:pPr>
      <w:r>
        <w:t>This case demonstrates that a constructive change claim may succeed even when the owner has not done or said anything to cause the contractor to perform additional work or to implement any changes in the work. Information the government agency included in bid solicitation documents provided the basis for additional compensation because the contractor incur</w:t>
      </w:r>
      <w:r w:rsidR="00D50869">
        <w:t>red</w:t>
      </w:r>
      <w:r>
        <w:t xml:space="preserve"> </w:t>
      </w:r>
      <w:r w:rsidR="006B55C8">
        <w:t>unanticipated</w:t>
      </w:r>
      <w:r>
        <w:t xml:space="preserve"> expenses when that information turned out to be inaccurate. To a significant extent, the opinion turn</w:t>
      </w:r>
      <w:r w:rsidR="00DC2BE4">
        <w:t>ed</w:t>
      </w:r>
      <w:r>
        <w:t xml:space="preserve"> on </w:t>
      </w:r>
      <w:r w:rsidR="00B93621">
        <w:t xml:space="preserve">how </w:t>
      </w:r>
      <w:r>
        <w:t>the court interpreted the controlling documents in the contractor’s favor. Two other aspects of the case merit brief mention for our purposes. First, as an alternative argument, the contractor asserted a right to additional compensation based on a differing site conditions clause in the contract documents. The court did not need to rule on that argument because the contractor prevailed on the constructive change claim. As already mentioned, Lesson 8 covers different site conditions. Second, the United States Court of Federal Claims, which rejected the contractor’s claim in the first instance, and the Court of Appeals for the Federal Circuit, which reversed in the contractor’s favor on appeal, are specialized courts whose rulings under the Contract Disputes Act often influence developments in construction law. (While the Court of Appeals for the Federal Circuit has issued many important decisions in federal construction cases, it is known even more for its opinions on federal patent law matters.)</w:t>
      </w:r>
    </w:p>
    <w:p w14:paraId="5D87FB9B" w14:textId="77777777" w:rsidR="00561025" w:rsidRDefault="00561025" w:rsidP="00FB79A5">
      <w:pPr>
        <w:rPr>
          <w:u w:val="single"/>
        </w:rPr>
      </w:pPr>
    </w:p>
    <w:p w14:paraId="6C892B58" w14:textId="77777777" w:rsidR="00561025" w:rsidRDefault="00561025" w:rsidP="00FB79A5">
      <w:pPr>
        <w:rPr>
          <w:u w:val="single"/>
        </w:rPr>
      </w:pPr>
    </w:p>
    <w:p w14:paraId="64D2E310" w14:textId="77777777" w:rsidR="00561025" w:rsidRDefault="00561025" w:rsidP="00FB79A5">
      <w:pPr>
        <w:rPr>
          <w:u w:val="single"/>
        </w:rPr>
      </w:pPr>
    </w:p>
    <w:p w14:paraId="70569B3C" w14:textId="77777777" w:rsidR="00561025" w:rsidRDefault="00561025" w:rsidP="00FB79A5">
      <w:pPr>
        <w:rPr>
          <w:u w:val="single"/>
        </w:rPr>
      </w:pPr>
    </w:p>
    <w:p w14:paraId="7E947186" w14:textId="77777777" w:rsidR="00561025" w:rsidRDefault="00561025" w:rsidP="00FB79A5">
      <w:pPr>
        <w:rPr>
          <w:u w:val="single"/>
        </w:rPr>
      </w:pPr>
    </w:p>
    <w:p w14:paraId="4C3DFFA6" w14:textId="458E4907" w:rsidR="00FB79A5" w:rsidRDefault="004D0A48" w:rsidP="00FB79A5">
      <w:r>
        <w:rPr>
          <w:u w:val="single"/>
        </w:rPr>
        <w:lastRenderedPageBreak/>
        <w:t xml:space="preserve">For Review and </w:t>
      </w:r>
      <w:r w:rsidR="003D5C11">
        <w:rPr>
          <w:u w:val="single"/>
        </w:rPr>
        <w:t>D</w:t>
      </w:r>
      <w:r>
        <w:rPr>
          <w:u w:val="single"/>
        </w:rPr>
        <w:t>iscussion</w:t>
      </w:r>
    </w:p>
    <w:p w14:paraId="14298AF8" w14:textId="77777777" w:rsidR="004D0A48" w:rsidRDefault="004D0A48" w:rsidP="00FB79A5"/>
    <w:p w14:paraId="74841F8A" w14:textId="6664346B" w:rsidR="00423E7C" w:rsidRDefault="00121EB2" w:rsidP="002F10CC">
      <w:pPr>
        <w:pStyle w:val="ListParagraph"/>
        <w:numPr>
          <w:ilvl w:val="0"/>
          <w:numId w:val="3"/>
        </w:numPr>
      </w:pPr>
      <w:r>
        <w:t xml:space="preserve">This lesson </w:t>
      </w:r>
      <w:r w:rsidR="00D72FD3">
        <w:t>references</w:t>
      </w:r>
      <w:r>
        <w:t xml:space="preserve"> the </w:t>
      </w:r>
      <w:r w:rsidR="000A3712">
        <w:t>AIA approach to changes</w:t>
      </w:r>
      <w:r w:rsidR="00CC4CEC">
        <w:t xml:space="preserve"> for a design-bid-build project</w:t>
      </w:r>
      <w:r w:rsidR="008F715B">
        <w:t>, which assigns</w:t>
      </w:r>
      <w:r w:rsidR="00175370">
        <w:t xml:space="preserve"> a central role to</w:t>
      </w:r>
      <w:r w:rsidR="008F715B">
        <w:t xml:space="preserve"> the owner’s architect </w:t>
      </w:r>
      <w:r w:rsidR="00CE1315">
        <w:t xml:space="preserve">under the provisions governing </w:t>
      </w:r>
      <w:r w:rsidR="008F715B">
        <w:t xml:space="preserve">a </w:t>
      </w:r>
      <w:r w:rsidR="00297FCC">
        <w:t xml:space="preserve">construction change directive. Other </w:t>
      </w:r>
      <w:r w:rsidR="00115FCC">
        <w:t xml:space="preserve">standard industry </w:t>
      </w:r>
      <w:r w:rsidR="005E38C4">
        <w:t>contracts</w:t>
      </w:r>
      <w:r w:rsidR="00297FCC">
        <w:t xml:space="preserve">, including </w:t>
      </w:r>
      <w:r w:rsidR="005E38C4">
        <w:t xml:space="preserve">the </w:t>
      </w:r>
      <w:proofErr w:type="spellStart"/>
      <w:r w:rsidR="005E38C4">
        <w:t>ConsensusDocs</w:t>
      </w:r>
      <w:proofErr w:type="spellEnd"/>
      <w:r w:rsidR="005E38C4">
        <w:t xml:space="preserve"> series, provide </w:t>
      </w:r>
      <w:r w:rsidR="00F161D9">
        <w:t xml:space="preserve">procedures and guidelines </w:t>
      </w:r>
      <w:r w:rsidR="00A23301">
        <w:t xml:space="preserve">for the owner and the contractor to determine those impacts </w:t>
      </w:r>
      <w:r w:rsidR="00380332">
        <w:t>via direct negotiations</w:t>
      </w:r>
      <w:r w:rsidR="00B579C0">
        <w:t xml:space="preserve"> without </w:t>
      </w:r>
      <w:r w:rsidR="00CC4587">
        <w:t>the input of an intermediary</w:t>
      </w:r>
      <w:r w:rsidR="00380332">
        <w:t xml:space="preserve">. </w:t>
      </w:r>
      <w:r w:rsidR="000510B3">
        <w:t>Read</w:t>
      </w:r>
      <w:r w:rsidR="00380332">
        <w:t xml:space="preserve"> </w:t>
      </w:r>
      <w:r w:rsidR="00AD6E52">
        <w:t>Articl</w:t>
      </w:r>
      <w:r w:rsidR="004C7086">
        <w:t xml:space="preserve">e 8 </w:t>
      </w:r>
      <w:r w:rsidR="00AD6E52">
        <w:t xml:space="preserve">of </w:t>
      </w:r>
      <w:proofErr w:type="spellStart"/>
      <w:r w:rsidR="004C7086">
        <w:t>ConsensusDocs</w:t>
      </w:r>
      <w:proofErr w:type="spellEnd"/>
      <w:r w:rsidR="004C7086">
        <w:t xml:space="preserve"> 200 (</w:t>
      </w:r>
      <w:r w:rsidR="00B94238">
        <w:t>2019),</w:t>
      </w:r>
      <w:r w:rsidR="00165346">
        <w:t xml:space="preserve"> </w:t>
      </w:r>
      <w:r w:rsidR="006042DD" w:rsidRPr="006042DD">
        <w:rPr>
          <w:i/>
          <w:iCs/>
        </w:rPr>
        <w:t>“</w:t>
      </w:r>
      <w:r w:rsidR="00B94238" w:rsidRPr="006042DD">
        <w:rPr>
          <w:i/>
          <w:iCs/>
        </w:rPr>
        <w:t>Standard Agreement and General Conditions Between Owner and Construct</w:t>
      </w:r>
      <w:r w:rsidR="00D80C01">
        <w:rPr>
          <w:i/>
          <w:iCs/>
        </w:rPr>
        <w:t>or</w:t>
      </w:r>
      <w:r w:rsidR="00B94238" w:rsidRPr="006042DD">
        <w:rPr>
          <w:i/>
          <w:iCs/>
        </w:rPr>
        <w:t xml:space="preserve"> (Lump Sum</w:t>
      </w:r>
      <w:r w:rsidR="006042DD" w:rsidRPr="006042DD">
        <w:rPr>
          <w:i/>
          <w:iCs/>
        </w:rPr>
        <w:t>)”</w:t>
      </w:r>
      <w:r w:rsidR="00B94238" w:rsidRPr="006042DD">
        <w:rPr>
          <w:i/>
          <w:iCs/>
        </w:rPr>
        <w:t xml:space="preserve"> </w:t>
      </w:r>
      <w:r w:rsidR="000510B3">
        <w:t>for a design-bid-build project)</w:t>
      </w:r>
      <w:r w:rsidR="00C12A0B">
        <w:t>. Also read</w:t>
      </w:r>
      <w:r w:rsidR="00AD6E52">
        <w:t xml:space="preserve"> Article 9 of </w:t>
      </w:r>
      <w:proofErr w:type="spellStart"/>
      <w:r w:rsidR="003E777A">
        <w:t>ConsensusDocs</w:t>
      </w:r>
      <w:proofErr w:type="spellEnd"/>
      <w:r w:rsidR="003E777A">
        <w:t xml:space="preserve"> </w:t>
      </w:r>
      <w:r w:rsidR="00AD6E52">
        <w:t>410</w:t>
      </w:r>
      <w:r w:rsidR="003E777A">
        <w:t xml:space="preserve">, </w:t>
      </w:r>
      <w:r w:rsidR="006042DD" w:rsidRPr="003C3490">
        <w:t>“</w:t>
      </w:r>
      <w:r w:rsidR="003E777A" w:rsidRPr="003C3490">
        <w:t xml:space="preserve">Standard Design-Build Agreement and General Conditions Between </w:t>
      </w:r>
      <w:r w:rsidR="00384FFC" w:rsidRPr="003C3490">
        <w:t>Owner</w:t>
      </w:r>
      <w:r w:rsidR="003E777A" w:rsidRPr="003C3490">
        <w:t xml:space="preserve"> and Design-Builder (Cost of the Work Plus a Fee with a GMP</w:t>
      </w:r>
      <w:r w:rsidR="00AD09BF" w:rsidRPr="003C3490">
        <w:t>)</w:t>
      </w:r>
      <w:r w:rsidR="003C3490" w:rsidRPr="003C3490">
        <w:t>”</w:t>
      </w:r>
      <w:r w:rsidR="000510B3">
        <w:t xml:space="preserve"> for a design-build project</w:t>
      </w:r>
      <w:r w:rsidR="00AB32F1">
        <w:t xml:space="preserve"> in which the parties have agreed to a guaranteed maxim price (GMP)</w:t>
      </w:r>
      <w:r w:rsidR="00AD6E52">
        <w:t xml:space="preserve">. </w:t>
      </w:r>
      <w:r w:rsidR="0005305E">
        <w:t xml:space="preserve">What </w:t>
      </w:r>
      <w:r w:rsidR="00636828">
        <w:t>factors should the parties consider in deciding w</w:t>
      </w:r>
      <w:r w:rsidR="00904798">
        <w:t xml:space="preserve">hich approach is best </w:t>
      </w:r>
      <w:r w:rsidR="009A1E66">
        <w:t xml:space="preserve">for resolving pricing and scheduling impacts </w:t>
      </w:r>
      <w:r w:rsidR="00904798">
        <w:t xml:space="preserve">when the owner </w:t>
      </w:r>
      <w:r w:rsidR="00C5665F">
        <w:t xml:space="preserve">unilaterally </w:t>
      </w:r>
      <w:r w:rsidR="00130879">
        <w:t>directs</w:t>
      </w:r>
      <w:r w:rsidR="00C5665F">
        <w:t xml:space="preserve"> the contractor to make</w:t>
      </w:r>
      <w:r w:rsidR="00A767BD">
        <w:t xml:space="preserve"> a change?</w:t>
      </w:r>
      <w:r w:rsidR="0005305E">
        <w:t xml:space="preserve"> </w:t>
      </w:r>
    </w:p>
    <w:p w14:paraId="02E6AB4F" w14:textId="74CF93FA" w:rsidR="00C53C0F" w:rsidRDefault="004C3A31" w:rsidP="002F10CC">
      <w:pPr>
        <w:pStyle w:val="ListParagraph"/>
        <w:numPr>
          <w:ilvl w:val="0"/>
          <w:numId w:val="3"/>
        </w:numPr>
      </w:pPr>
      <w:r>
        <w:t>Does the court’s opinion in</w:t>
      </w:r>
      <w:r w:rsidR="00C53C0F">
        <w:t xml:space="preserve"> </w:t>
      </w:r>
      <w:r w:rsidR="00F7328D" w:rsidRPr="00F7328D">
        <w:rPr>
          <w:i/>
        </w:rPr>
        <w:t xml:space="preserve">Watson Lumber Company v. </w:t>
      </w:r>
      <w:proofErr w:type="spellStart"/>
      <w:r w:rsidR="00F7328D" w:rsidRPr="00F7328D">
        <w:rPr>
          <w:i/>
        </w:rPr>
        <w:t>Guennewig</w:t>
      </w:r>
      <w:proofErr w:type="spellEnd"/>
      <w:r w:rsidR="00926F25">
        <w:rPr>
          <w:iCs/>
        </w:rPr>
        <w:t xml:space="preserve"> </w:t>
      </w:r>
      <w:r w:rsidR="003D350B">
        <w:rPr>
          <w:iCs/>
        </w:rPr>
        <w:t>articulate evidentia</w:t>
      </w:r>
      <w:r w:rsidR="005D63F0">
        <w:rPr>
          <w:iCs/>
        </w:rPr>
        <w:t>ry</w:t>
      </w:r>
      <w:r w:rsidR="003D350B">
        <w:rPr>
          <w:iCs/>
        </w:rPr>
        <w:t xml:space="preserve"> standards</w:t>
      </w:r>
      <w:r w:rsidR="00B65A3A">
        <w:rPr>
          <w:iCs/>
        </w:rPr>
        <w:t xml:space="preserve"> sufficient to </w:t>
      </w:r>
      <w:r w:rsidR="00991083">
        <w:rPr>
          <w:iCs/>
        </w:rPr>
        <w:t>produce an equitable resolution on retrial?</w:t>
      </w:r>
      <w:r w:rsidR="005E29BF">
        <w:rPr>
          <w:iCs/>
        </w:rPr>
        <w:t xml:space="preserve"> How could the parties have avoid</w:t>
      </w:r>
      <w:r w:rsidR="007C404C">
        <w:rPr>
          <w:iCs/>
        </w:rPr>
        <w:t>ed</w:t>
      </w:r>
      <w:r w:rsidR="005E29BF">
        <w:rPr>
          <w:iCs/>
        </w:rPr>
        <w:t xml:space="preserve"> the dispute in the first instance?</w:t>
      </w:r>
    </w:p>
    <w:p w14:paraId="5FDA7BB3" w14:textId="4F0D28CC" w:rsidR="004D0A48" w:rsidRPr="007602B3" w:rsidRDefault="007602B3" w:rsidP="002F10CC">
      <w:pPr>
        <w:pStyle w:val="ListParagraph"/>
        <w:numPr>
          <w:ilvl w:val="0"/>
          <w:numId w:val="3"/>
        </w:numPr>
        <w:rPr>
          <w:i/>
          <w:iCs/>
        </w:rPr>
      </w:pPr>
      <w:r>
        <w:t>In</w:t>
      </w:r>
      <w:r w:rsidR="009A3EAD">
        <w:t xml:space="preserve"> </w:t>
      </w:r>
      <w:r w:rsidRPr="007602B3">
        <w:rPr>
          <w:i/>
          <w:iCs/>
        </w:rPr>
        <w:t>Kiewit Infrastructure W</w:t>
      </w:r>
      <w:r w:rsidR="00E407F5">
        <w:rPr>
          <w:i/>
          <w:iCs/>
        </w:rPr>
        <w:t>est</w:t>
      </w:r>
      <w:r w:rsidRPr="007602B3">
        <w:rPr>
          <w:i/>
          <w:iCs/>
        </w:rPr>
        <w:t xml:space="preserve"> Co. v. United States</w:t>
      </w:r>
      <w:r>
        <w:t xml:space="preserve">, the court </w:t>
      </w:r>
      <w:r w:rsidR="00A862A4">
        <w:t>determined that</w:t>
      </w:r>
      <w:r w:rsidR="00F7144D">
        <w:t xml:space="preserve"> the owner </w:t>
      </w:r>
      <w:r w:rsidR="00565F90">
        <w:t xml:space="preserve">essentially represented that </w:t>
      </w:r>
      <w:r w:rsidR="00C351AE">
        <w:t>the</w:t>
      </w:r>
      <w:r w:rsidR="005A2847">
        <w:t xml:space="preserve"> </w:t>
      </w:r>
      <w:r w:rsidR="00C351AE">
        <w:t>contractor</w:t>
      </w:r>
      <w:r w:rsidR="00E364CD">
        <w:t xml:space="preserve"> would</w:t>
      </w:r>
      <w:r w:rsidR="005A2847">
        <w:t xml:space="preserve"> not</w:t>
      </w:r>
      <w:r w:rsidR="00E364CD">
        <w:t xml:space="preserve"> </w:t>
      </w:r>
      <w:r w:rsidR="00C351AE">
        <w:t>need</w:t>
      </w:r>
      <w:r w:rsidR="00E364CD">
        <w:t xml:space="preserve"> t</w:t>
      </w:r>
      <w:r w:rsidR="00DC187D">
        <w:t xml:space="preserve">o purchase the </w:t>
      </w:r>
      <w:r w:rsidR="005629CD">
        <w:t>wetlands</w:t>
      </w:r>
      <w:r w:rsidR="00DC187D">
        <w:t xml:space="preserve"> mitigation credits</w:t>
      </w:r>
      <w:r w:rsidR="005629CD">
        <w:t xml:space="preserve"> </w:t>
      </w:r>
      <w:r w:rsidR="00725FB3">
        <w:t>at the heart of the</w:t>
      </w:r>
      <w:r w:rsidR="00C351AE">
        <w:t xml:space="preserve"> dispute</w:t>
      </w:r>
      <w:r w:rsidR="00D93C09">
        <w:t xml:space="preserve">. </w:t>
      </w:r>
      <w:r w:rsidR="0053244C">
        <w:t>The constructive change doctrine</w:t>
      </w:r>
      <w:r w:rsidR="00725FB3">
        <w:t>, however,</w:t>
      </w:r>
      <w:r w:rsidR="0053244C">
        <w:t xml:space="preserve"> does not afford the contractor a remedy when the owner merely insists that the contractor perform</w:t>
      </w:r>
      <w:r w:rsidR="007C00D4">
        <w:t xml:space="preserve"> the work according to the</w:t>
      </w:r>
      <w:r w:rsidR="00886AB6">
        <w:t xml:space="preserve"> agreed</w:t>
      </w:r>
      <w:r w:rsidR="007C00D4">
        <w:t xml:space="preserve"> plans and specifications. See </w:t>
      </w:r>
      <w:r w:rsidR="008154C8" w:rsidRPr="008154C8">
        <w:rPr>
          <w:i/>
        </w:rPr>
        <w:t>Aleutian Constructors v. United States</w:t>
      </w:r>
      <w:r w:rsidR="008154C8" w:rsidRPr="005C6A6F">
        <w:t>, 24 Cl. Ct. 372</w:t>
      </w:r>
      <w:r w:rsidR="00F62A69">
        <w:t>, 389-</w:t>
      </w:r>
      <w:r w:rsidR="00B0095A">
        <w:t>90</w:t>
      </w:r>
      <w:r w:rsidR="008154C8" w:rsidRPr="005C6A6F">
        <w:t xml:space="preserve"> (1991)</w:t>
      </w:r>
      <w:r w:rsidR="008154C8">
        <w:t xml:space="preserve"> (</w:t>
      </w:r>
      <w:r w:rsidR="00C43F4F">
        <w:t>rejecting a claim for</w:t>
      </w:r>
      <w:r w:rsidR="004F4B3F">
        <w:t xml:space="preserve"> additional compensation where the evidence show</w:t>
      </w:r>
      <w:r w:rsidR="00C43F4F">
        <w:t>ed</w:t>
      </w:r>
      <w:r w:rsidR="004F4B3F">
        <w:t xml:space="preserve"> that the </w:t>
      </w:r>
      <w:r w:rsidR="00D448C8">
        <w:t xml:space="preserve">contractor </w:t>
      </w:r>
      <w:r w:rsidR="00015FCE">
        <w:t xml:space="preserve">was merely being required to </w:t>
      </w:r>
      <w:r w:rsidR="00D448C8">
        <w:t>correct work</w:t>
      </w:r>
      <w:r w:rsidR="00322520">
        <w:t xml:space="preserve"> that failed to comply with contractual requirements</w:t>
      </w:r>
      <w:r w:rsidR="00D448C8">
        <w:t>).</w:t>
      </w:r>
      <w:r w:rsidR="00541DB4" w:rsidRPr="00541DB4">
        <w:t xml:space="preserve"> </w:t>
      </w:r>
      <w:r w:rsidR="00541DB4">
        <w:t xml:space="preserve">Was there a credible argument in the </w:t>
      </w:r>
      <w:r w:rsidR="00541DB4">
        <w:rPr>
          <w:i/>
          <w:iCs/>
        </w:rPr>
        <w:t xml:space="preserve">Kiewit </w:t>
      </w:r>
      <w:r w:rsidR="00541DB4">
        <w:t xml:space="preserve">case </w:t>
      </w:r>
      <w:r w:rsidR="00D61EE7">
        <w:t>that when the contractor</w:t>
      </w:r>
      <w:r w:rsidR="006553BE">
        <w:t xml:space="preserve"> </w:t>
      </w:r>
      <w:r w:rsidR="00284257">
        <w:t>purchased</w:t>
      </w:r>
      <w:r w:rsidR="00D61EE7">
        <w:t xml:space="preserve"> the</w:t>
      </w:r>
      <w:r w:rsidR="00284257">
        <w:t xml:space="preserve"> additional mitigation credits</w:t>
      </w:r>
      <w:r w:rsidR="00D61EE7">
        <w:t xml:space="preserve"> fees</w:t>
      </w:r>
      <w:r w:rsidR="00284257">
        <w:t>, it</w:t>
      </w:r>
      <w:r w:rsidR="006553BE">
        <w:t xml:space="preserve"> was simply doing what the contract documents required</w:t>
      </w:r>
      <w:r w:rsidR="00541DB4">
        <w:t>?</w:t>
      </w:r>
    </w:p>
    <w:p w14:paraId="6A42A731" w14:textId="01856D2F" w:rsidR="009C74DC" w:rsidRPr="00F2305A" w:rsidRDefault="009C74DC" w:rsidP="009C74DC"/>
    <w:p w14:paraId="214854B0" w14:textId="77777777" w:rsidR="00CC347F" w:rsidRDefault="00CC347F">
      <w:pPr>
        <w:spacing w:after="160" w:line="259" w:lineRule="auto"/>
        <w:rPr>
          <w:u w:val="single"/>
        </w:rPr>
      </w:pPr>
    </w:p>
    <w:p w14:paraId="1274E3B8" w14:textId="4F530C7F" w:rsidR="002B50D3" w:rsidRDefault="002B50D3" w:rsidP="007C00D4">
      <w:pPr>
        <w:spacing w:after="160" w:line="259" w:lineRule="auto"/>
      </w:pPr>
    </w:p>
    <w:sectPr w:rsidR="002B50D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CB3BE2" w14:textId="77777777" w:rsidR="00225759" w:rsidRDefault="00225759" w:rsidP="007C726E">
      <w:r>
        <w:separator/>
      </w:r>
    </w:p>
  </w:endnote>
  <w:endnote w:type="continuationSeparator" w:id="0">
    <w:p w14:paraId="7C368676" w14:textId="77777777" w:rsidR="00225759" w:rsidRDefault="00225759" w:rsidP="007C7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CB924" w14:textId="5CFA59B3" w:rsidR="007C726E" w:rsidRDefault="007C726E">
    <w:pPr>
      <w:pStyle w:val="Footer"/>
    </w:pPr>
    <w:r>
      <w:t xml:space="preserve">© Carl J. </w:t>
    </w:r>
    <w:proofErr w:type="spellStart"/>
    <w:r>
      <w:t>Circo</w:t>
    </w:r>
    <w:proofErr w:type="spellEnd"/>
    <w:r>
      <w:t xml:space="preserve"> 2024</w:t>
    </w:r>
    <w:r>
      <w:ptab w:relativeTo="margin" w:alignment="center" w:leader="none"/>
    </w:r>
    <w:r>
      <w:ptab w:relativeTo="margin" w:alignment="right" w:leader="none"/>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10B712" w14:textId="77777777" w:rsidR="00225759" w:rsidRDefault="00225759" w:rsidP="007C726E">
      <w:r>
        <w:separator/>
      </w:r>
    </w:p>
  </w:footnote>
  <w:footnote w:type="continuationSeparator" w:id="0">
    <w:p w14:paraId="334B825D" w14:textId="77777777" w:rsidR="00225759" w:rsidRDefault="00225759" w:rsidP="007C7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0370F" w14:textId="10F1E809" w:rsidR="007C726E" w:rsidRDefault="007C726E">
    <w:pPr>
      <w:pStyle w:val="Header"/>
    </w:pPr>
    <w:r>
      <w:t>Work-in-progress, September 2024</w:t>
    </w:r>
  </w:p>
  <w:p w14:paraId="4032C77E" w14:textId="77777777" w:rsidR="007C726E" w:rsidRDefault="007C72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E59F7"/>
    <w:multiLevelType w:val="hybridMultilevel"/>
    <w:tmpl w:val="53485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876D35"/>
    <w:multiLevelType w:val="hybridMultilevel"/>
    <w:tmpl w:val="B33C8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B53F9B"/>
    <w:multiLevelType w:val="hybridMultilevel"/>
    <w:tmpl w:val="28A6DFFC"/>
    <w:lvl w:ilvl="0" w:tplc="32A2BB62">
      <w:start w:val="1"/>
      <w:numFmt w:val="bullet"/>
      <w:lvlText w:val=""/>
      <w:lvlJc w:val="left"/>
      <w:pPr>
        <w:tabs>
          <w:tab w:val="num" w:pos="360"/>
        </w:tabs>
        <w:ind w:left="360" w:hanging="288"/>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12522776">
    <w:abstractNumId w:val="2"/>
  </w:num>
  <w:num w:numId="2" w16cid:durableId="1768116626">
    <w:abstractNumId w:val="0"/>
  </w:num>
  <w:num w:numId="3" w16cid:durableId="7350534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26E"/>
    <w:rsid w:val="00002CD4"/>
    <w:rsid w:val="00015FCE"/>
    <w:rsid w:val="00016CEE"/>
    <w:rsid w:val="000275AE"/>
    <w:rsid w:val="00041522"/>
    <w:rsid w:val="0004208A"/>
    <w:rsid w:val="000510B3"/>
    <w:rsid w:val="0005305E"/>
    <w:rsid w:val="00056231"/>
    <w:rsid w:val="0006039D"/>
    <w:rsid w:val="000709AD"/>
    <w:rsid w:val="00074BBB"/>
    <w:rsid w:val="00080649"/>
    <w:rsid w:val="000864BC"/>
    <w:rsid w:val="00090157"/>
    <w:rsid w:val="00090A47"/>
    <w:rsid w:val="00091F5A"/>
    <w:rsid w:val="00093A04"/>
    <w:rsid w:val="000A3712"/>
    <w:rsid w:val="000C4631"/>
    <w:rsid w:val="000C6F9D"/>
    <w:rsid w:val="000C7B67"/>
    <w:rsid w:val="000D07E9"/>
    <w:rsid w:val="000D10B1"/>
    <w:rsid w:val="000E1018"/>
    <w:rsid w:val="000E2862"/>
    <w:rsid w:val="000F0508"/>
    <w:rsid w:val="000F3A82"/>
    <w:rsid w:val="000F6C39"/>
    <w:rsid w:val="001013D9"/>
    <w:rsid w:val="001036F5"/>
    <w:rsid w:val="0010458F"/>
    <w:rsid w:val="00106B73"/>
    <w:rsid w:val="00114F4E"/>
    <w:rsid w:val="00115FCC"/>
    <w:rsid w:val="001201EB"/>
    <w:rsid w:val="00121EB2"/>
    <w:rsid w:val="001259B5"/>
    <w:rsid w:val="00126092"/>
    <w:rsid w:val="00127AA2"/>
    <w:rsid w:val="00130879"/>
    <w:rsid w:val="001320BB"/>
    <w:rsid w:val="001329E6"/>
    <w:rsid w:val="00133096"/>
    <w:rsid w:val="0015267D"/>
    <w:rsid w:val="00152945"/>
    <w:rsid w:val="001555CB"/>
    <w:rsid w:val="00160618"/>
    <w:rsid w:val="00161558"/>
    <w:rsid w:val="00162061"/>
    <w:rsid w:val="00165346"/>
    <w:rsid w:val="00166E1C"/>
    <w:rsid w:val="00167CE9"/>
    <w:rsid w:val="00171FB6"/>
    <w:rsid w:val="0017473C"/>
    <w:rsid w:val="00174822"/>
    <w:rsid w:val="00175113"/>
    <w:rsid w:val="00175370"/>
    <w:rsid w:val="001843C1"/>
    <w:rsid w:val="00192416"/>
    <w:rsid w:val="00193379"/>
    <w:rsid w:val="0019572F"/>
    <w:rsid w:val="001E71F9"/>
    <w:rsid w:val="001F4B71"/>
    <w:rsid w:val="001F4C87"/>
    <w:rsid w:val="001F6768"/>
    <w:rsid w:val="002134D2"/>
    <w:rsid w:val="00217B9D"/>
    <w:rsid w:val="0022546D"/>
    <w:rsid w:val="00225759"/>
    <w:rsid w:val="00231116"/>
    <w:rsid w:val="00231F9C"/>
    <w:rsid w:val="002324D1"/>
    <w:rsid w:val="002332B5"/>
    <w:rsid w:val="00236759"/>
    <w:rsid w:val="0024139E"/>
    <w:rsid w:val="00251BE1"/>
    <w:rsid w:val="002526CD"/>
    <w:rsid w:val="00253C0D"/>
    <w:rsid w:val="002557A5"/>
    <w:rsid w:val="00265FF0"/>
    <w:rsid w:val="00266117"/>
    <w:rsid w:val="002665C5"/>
    <w:rsid w:val="00273EF7"/>
    <w:rsid w:val="00273F17"/>
    <w:rsid w:val="002808B5"/>
    <w:rsid w:val="00284257"/>
    <w:rsid w:val="00297FCC"/>
    <w:rsid w:val="002A4FA2"/>
    <w:rsid w:val="002A573E"/>
    <w:rsid w:val="002B1227"/>
    <w:rsid w:val="002B3C14"/>
    <w:rsid w:val="002B50D3"/>
    <w:rsid w:val="002C4675"/>
    <w:rsid w:val="002D3EF8"/>
    <w:rsid w:val="002E5B6D"/>
    <w:rsid w:val="002F10CC"/>
    <w:rsid w:val="00301E96"/>
    <w:rsid w:val="003062D7"/>
    <w:rsid w:val="003078B4"/>
    <w:rsid w:val="00313C12"/>
    <w:rsid w:val="00314404"/>
    <w:rsid w:val="003203BF"/>
    <w:rsid w:val="00322520"/>
    <w:rsid w:val="003269E9"/>
    <w:rsid w:val="0033550C"/>
    <w:rsid w:val="003375E7"/>
    <w:rsid w:val="00342AF6"/>
    <w:rsid w:val="00347CEC"/>
    <w:rsid w:val="00362054"/>
    <w:rsid w:val="003767DB"/>
    <w:rsid w:val="00380301"/>
    <w:rsid w:val="00380332"/>
    <w:rsid w:val="00384FFC"/>
    <w:rsid w:val="00397A79"/>
    <w:rsid w:val="003A0C9F"/>
    <w:rsid w:val="003A0D72"/>
    <w:rsid w:val="003A2FC6"/>
    <w:rsid w:val="003A56A4"/>
    <w:rsid w:val="003B3DF9"/>
    <w:rsid w:val="003C0A43"/>
    <w:rsid w:val="003C3490"/>
    <w:rsid w:val="003C57D2"/>
    <w:rsid w:val="003D1102"/>
    <w:rsid w:val="003D31AA"/>
    <w:rsid w:val="003D350B"/>
    <w:rsid w:val="003D5C11"/>
    <w:rsid w:val="003E2999"/>
    <w:rsid w:val="003E3210"/>
    <w:rsid w:val="003E777A"/>
    <w:rsid w:val="003F0AD0"/>
    <w:rsid w:val="003F234A"/>
    <w:rsid w:val="003F2E76"/>
    <w:rsid w:val="003F3AE6"/>
    <w:rsid w:val="003F3EF6"/>
    <w:rsid w:val="003F5E04"/>
    <w:rsid w:val="003F740E"/>
    <w:rsid w:val="00404609"/>
    <w:rsid w:val="004169BB"/>
    <w:rsid w:val="00423E7C"/>
    <w:rsid w:val="004248D1"/>
    <w:rsid w:val="00425030"/>
    <w:rsid w:val="004264F7"/>
    <w:rsid w:val="00430307"/>
    <w:rsid w:val="00432C8C"/>
    <w:rsid w:val="00435239"/>
    <w:rsid w:val="004422B6"/>
    <w:rsid w:val="004523BB"/>
    <w:rsid w:val="00460F2D"/>
    <w:rsid w:val="004620FE"/>
    <w:rsid w:val="00463D70"/>
    <w:rsid w:val="0046652D"/>
    <w:rsid w:val="00466F66"/>
    <w:rsid w:val="00475B9F"/>
    <w:rsid w:val="004863D5"/>
    <w:rsid w:val="00486ACC"/>
    <w:rsid w:val="004A128D"/>
    <w:rsid w:val="004A18DF"/>
    <w:rsid w:val="004A640B"/>
    <w:rsid w:val="004A7A32"/>
    <w:rsid w:val="004B6CEE"/>
    <w:rsid w:val="004C3077"/>
    <w:rsid w:val="004C3A31"/>
    <w:rsid w:val="004C6A70"/>
    <w:rsid w:val="004C7086"/>
    <w:rsid w:val="004D0A48"/>
    <w:rsid w:val="004E0367"/>
    <w:rsid w:val="004E38CD"/>
    <w:rsid w:val="004E3CFE"/>
    <w:rsid w:val="004F12CD"/>
    <w:rsid w:val="004F2E60"/>
    <w:rsid w:val="004F34D7"/>
    <w:rsid w:val="004F40A7"/>
    <w:rsid w:val="004F4B3F"/>
    <w:rsid w:val="005154BB"/>
    <w:rsid w:val="0052346B"/>
    <w:rsid w:val="00527EA7"/>
    <w:rsid w:val="0053244C"/>
    <w:rsid w:val="0053295F"/>
    <w:rsid w:val="00535811"/>
    <w:rsid w:val="00540E8F"/>
    <w:rsid w:val="00541DB4"/>
    <w:rsid w:val="00557C98"/>
    <w:rsid w:val="00561025"/>
    <w:rsid w:val="00561D4F"/>
    <w:rsid w:val="005624BD"/>
    <w:rsid w:val="005629CD"/>
    <w:rsid w:val="00565F90"/>
    <w:rsid w:val="0056635F"/>
    <w:rsid w:val="005905DC"/>
    <w:rsid w:val="005A0517"/>
    <w:rsid w:val="005A192A"/>
    <w:rsid w:val="005A2847"/>
    <w:rsid w:val="005A47F3"/>
    <w:rsid w:val="005A49B2"/>
    <w:rsid w:val="005B31CF"/>
    <w:rsid w:val="005C4A80"/>
    <w:rsid w:val="005C62AA"/>
    <w:rsid w:val="005C6B3E"/>
    <w:rsid w:val="005D2410"/>
    <w:rsid w:val="005D39D8"/>
    <w:rsid w:val="005D4BAB"/>
    <w:rsid w:val="005D60FB"/>
    <w:rsid w:val="005D63F0"/>
    <w:rsid w:val="005E29BF"/>
    <w:rsid w:val="005E38C4"/>
    <w:rsid w:val="005E4A8E"/>
    <w:rsid w:val="005E6DF0"/>
    <w:rsid w:val="006042DD"/>
    <w:rsid w:val="006075A4"/>
    <w:rsid w:val="00611FD5"/>
    <w:rsid w:val="00615DED"/>
    <w:rsid w:val="00616140"/>
    <w:rsid w:val="00617BA7"/>
    <w:rsid w:val="0063344C"/>
    <w:rsid w:val="00636106"/>
    <w:rsid w:val="00636828"/>
    <w:rsid w:val="006375EA"/>
    <w:rsid w:val="006552EE"/>
    <w:rsid w:val="006553BE"/>
    <w:rsid w:val="006611D6"/>
    <w:rsid w:val="00662FD4"/>
    <w:rsid w:val="006708FB"/>
    <w:rsid w:val="006847BA"/>
    <w:rsid w:val="00690372"/>
    <w:rsid w:val="006933E9"/>
    <w:rsid w:val="00695C3B"/>
    <w:rsid w:val="006A3160"/>
    <w:rsid w:val="006B0C63"/>
    <w:rsid w:val="006B237E"/>
    <w:rsid w:val="006B44E3"/>
    <w:rsid w:val="006B55C8"/>
    <w:rsid w:val="006C66EC"/>
    <w:rsid w:val="006C7251"/>
    <w:rsid w:val="006D35E4"/>
    <w:rsid w:val="006D6A5C"/>
    <w:rsid w:val="006D6A6D"/>
    <w:rsid w:val="006F47CF"/>
    <w:rsid w:val="00725FB3"/>
    <w:rsid w:val="00730E03"/>
    <w:rsid w:val="00735BF3"/>
    <w:rsid w:val="007424D0"/>
    <w:rsid w:val="00745508"/>
    <w:rsid w:val="00745812"/>
    <w:rsid w:val="00750753"/>
    <w:rsid w:val="00754014"/>
    <w:rsid w:val="007602B3"/>
    <w:rsid w:val="00760A92"/>
    <w:rsid w:val="0076141F"/>
    <w:rsid w:val="007742E9"/>
    <w:rsid w:val="00774F45"/>
    <w:rsid w:val="00781AB5"/>
    <w:rsid w:val="007832B5"/>
    <w:rsid w:val="00792273"/>
    <w:rsid w:val="00797B4C"/>
    <w:rsid w:val="007A03F3"/>
    <w:rsid w:val="007A093F"/>
    <w:rsid w:val="007A427C"/>
    <w:rsid w:val="007A5CC7"/>
    <w:rsid w:val="007A67DD"/>
    <w:rsid w:val="007B1BF5"/>
    <w:rsid w:val="007B52E9"/>
    <w:rsid w:val="007C00D4"/>
    <w:rsid w:val="007C404C"/>
    <w:rsid w:val="007C55B8"/>
    <w:rsid w:val="007C6574"/>
    <w:rsid w:val="007C726E"/>
    <w:rsid w:val="007E0A1B"/>
    <w:rsid w:val="007E25E3"/>
    <w:rsid w:val="007F0CB5"/>
    <w:rsid w:val="007F66A7"/>
    <w:rsid w:val="00803E49"/>
    <w:rsid w:val="00805CF9"/>
    <w:rsid w:val="008073ED"/>
    <w:rsid w:val="00811698"/>
    <w:rsid w:val="00812965"/>
    <w:rsid w:val="00813DA5"/>
    <w:rsid w:val="008154C8"/>
    <w:rsid w:val="00821324"/>
    <w:rsid w:val="00835016"/>
    <w:rsid w:val="008427E6"/>
    <w:rsid w:val="00845D40"/>
    <w:rsid w:val="00855BE9"/>
    <w:rsid w:val="00855C69"/>
    <w:rsid w:val="008651D5"/>
    <w:rsid w:val="00870C6C"/>
    <w:rsid w:val="0087193E"/>
    <w:rsid w:val="008732D3"/>
    <w:rsid w:val="00886AB6"/>
    <w:rsid w:val="00887CCC"/>
    <w:rsid w:val="00894100"/>
    <w:rsid w:val="008A41B5"/>
    <w:rsid w:val="008A70C6"/>
    <w:rsid w:val="008A7D38"/>
    <w:rsid w:val="008B025B"/>
    <w:rsid w:val="008C28EA"/>
    <w:rsid w:val="008C5CE7"/>
    <w:rsid w:val="008C64BB"/>
    <w:rsid w:val="008C6639"/>
    <w:rsid w:val="008C786B"/>
    <w:rsid w:val="008D21E3"/>
    <w:rsid w:val="008E0848"/>
    <w:rsid w:val="008E7FFE"/>
    <w:rsid w:val="008F1E09"/>
    <w:rsid w:val="008F6F8F"/>
    <w:rsid w:val="008F715B"/>
    <w:rsid w:val="00902F5A"/>
    <w:rsid w:val="00904798"/>
    <w:rsid w:val="009116F2"/>
    <w:rsid w:val="009129CC"/>
    <w:rsid w:val="009139E3"/>
    <w:rsid w:val="00913D1A"/>
    <w:rsid w:val="0092293D"/>
    <w:rsid w:val="00922E51"/>
    <w:rsid w:val="00926AC1"/>
    <w:rsid w:val="00926D61"/>
    <w:rsid w:val="00926F25"/>
    <w:rsid w:val="0093345A"/>
    <w:rsid w:val="00936186"/>
    <w:rsid w:val="009367A8"/>
    <w:rsid w:val="00943D16"/>
    <w:rsid w:val="009510C4"/>
    <w:rsid w:val="0095161E"/>
    <w:rsid w:val="0095669C"/>
    <w:rsid w:val="00964E92"/>
    <w:rsid w:val="00964FB3"/>
    <w:rsid w:val="00970563"/>
    <w:rsid w:val="00977A3A"/>
    <w:rsid w:val="00981379"/>
    <w:rsid w:val="00982D07"/>
    <w:rsid w:val="00991083"/>
    <w:rsid w:val="009913D9"/>
    <w:rsid w:val="00994A0F"/>
    <w:rsid w:val="00995C4D"/>
    <w:rsid w:val="009A1E66"/>
    <w:rsid w:val="009A38F0"/>
    <w:rsid w:val="009A3EAD"/>
    <w:rsid w:val="009C10FF"/>
    <w:rsid w:val="009C2B01"/>
    <w:rsid w:val="009C3516"/>
    <w:rsid w:val="009C55B3"/>
    <w:rsid w:val="009C74DC"/>
    <w:rsid w:val="009F2A01"/>
    <w:rsid w:val="009F553B"/>
    <w:rsid w:val="00A03F4C"/>
    <w:rsid w:val="00A07EA2"/>
    <w:rsid w:val="00A107CE"/>
    <w:rsid w:val="00A108A0"/>
    <w:rsid w:val="00A14E8B"/>
    <w:rsid w:val="00A23301"/>
    <w:rsid w:val="00A24AE0"/>
    <w:rsid w:val="00A25224"/>
    <w:rsid w:val="00A25A54"/>
    <w:rsid w:val="00A34557"/>
    <w:rsid w:val="00A43897"/>
    <w:rsid w:val="00A46010"/>
    <w:rsid w:val="00A4774A"/>
    <w:rsid w:val="00A552BD"/>
    <w:rsid w:val="00A555C3"/>
    <w:rsid w:val="00A67AAE"/>
    <w:rsid w:val="00A71BCE"/>
    <w:rsid w:val="00A767BD"/>
    <w:rsid w:val="00A862A4"/>
    <w:rsid w:val="00A95117"/>
    <w:rsid w:val="00A968F8"/>
    <w:rsid w:val="00AA2C4C"/>
    <w:rsid w:val="00AA61E0"/>
    <w:rsid w:val="00AA7F1B"/>
    <w:rsid w:val="00AB0AEC"/>
    <w:rsid w:val="00AB32F1"/>
    <w:rsid w:val="00AB4319"/>
    <w:rsid w:val="00AB46CF"/>
    <w:rsid w:val="00AB66F2"/>
    <w:rsid w:val="00AC1479"/>
    <w:rsid w:val="00AC231A"/>
    <w:rsid w:val="00AD09BF"/>
    <w:rsid w:val="00AD6E52"/>
    <w:rsid w:val="00AE1DFF"/>
    <w:rsid w:val="00AE46DD"/>
    <w:rsid w:val="00AE4D7F"/>
    <w:rsid w:val="00AE5842"/>
    <w:rsid w:val="00AE6508"/>
    <w:rsid w:val="00AF1241"/>
    <w:rsid w:val="00B0095A"/>
    <w:rsid w:val="00B016C2"/>
    <w:rsid w:val="00B26EF4"/>
    <w:rsid w:val="00B34EB8"/>
    <w:rsid w:val="00B42AAA"/>
    <w:rsid w:val="00B46B4F"/>
    <w:rsid w:val="00B5371B"/>
    <w:rsid w:val="00B5518D"/>
    <w:rsid w:val="00B579C0"/>
    <w:rsid w:val="00B61001"/>
    <w:rsid w:val="00B65A3A"/>
    <w:rsid w:val="00B65B49"/>
    <w:rsid w:val="00B66E06"/>
    <w:rsid w:val="00B80A17"/>
    <w:rsid w:val="00B813D2"/>
    <w:rsid w:val="00B817BD"/>
    <w:rsid w:val="00B8443D"/>
    <w:rsid w:val="00B87594"/>
    <w:rsid w:val="00B91FF6"/>
    <w:rsid w:val="00B93621"/>
    <w:rsid w:val="00B94238"/>
    <w:rsid w:val="00BA0D88"/>
    <w:rsid w:val="00BA2B89"/>
    <w:rsid w:val="00BB16EC"/>
    <w:rsid w:val="00BB3304"/>
    <w:rsid w:val="00BC10C3"/>
    <w:rsid w:val="00BC179F"/>
    <w:rsid w:val="00BC25C4"/>
    <w:rsid w:val="00BC2996"/>
    <w:rsid w:val="00BD22B5"/>
    <w:rsid w:val="00BD3569"/>
    <w:rsid w:val="00BE0ABA"/>
    <w:rsid w:val="00BF1912"/>
    <w:rsid w:val="00BF44BB"/>
    <w:rsid w:val="00C02AD8"/>
    <w:rsid w:val="00C0332A"/>
    <w:rsid w:val="00C04C29"/>
    <w:rsid w:val="00C12A0B"/>
    <w:rsid w:val="00C154A5"/>
    <w:rsid w:val="00C15BAE"/>
    <w:rsid w:val="00C27BC9"/>
    <w:rsid w:val="00C351AE"/>
    <w:rsid w:val="00C43F4F"/>
    <w:rsid w:val="00C47B46"/>
    <w:rsid w:val="00C51286"/>
    <w:rsid w:val="00C51DBC"/>
    <w:rsid w:val="00C53C0F"/>
    <w:rsid w:val="00C5665F"/>
    <w:rsid w:val="00C6124C"/>
    <w:rsid w:val="00C6674F"/>
    <w:rsid w:val="00C670B4"/>
    <w:rsid w:val="00C702B6"/>
    <w:rsid w:val="00C7158D"/>
    <w:rsid w:val="00C8108E"/>
    <w:rsid w:val="00C8497B"/>
    <w:rsid w:val="00C861C1"/>
    <w:rsid w:val="00C91732"/>
    <w:rsid w:val="00C920B6"/>
    <w:rsid w:val="00C92EC0"/>
    <w:rsid w:val="00C96540"/>
    <w:rsid w:val="00CB0800"/>
    <w:rsid w:val="00CB2FAA"/>
    <w:rsid w:val="00CC347F"/>
    <w:rsid w:val="00CC4587"/>
    <w:rsid w:val="00CC4CEC"/>
    <w:rsid w:val="00CD6AD5"/>
    <w:rsid w:val="00CE024B"/>
    <w:rsid w:val="00CE0B2E"/>
    <w:rsid w:val="00CE1315"/>
    <w:rsid w:val="00CE3863"/>
    <w:rsid w:val="00CE5802"/>
    <w:rsid w:val="00CF0660"/>
    <w:rsid w:val="00CF06E3"/>
    <w:rsid w:val="00CF1A49"/>
    <w:rsid w:val="00CF684B"/>
    <w:rsid w:val="00D01238"/>
    <w:rsid w:val="00D01655"/>
    <w:rsid w:val="00D02E6A"/>
    <w:rsid w:val="00D032CB"/>
    <w:rsid w:val="00D047DC"/>
    <w:rsid w:val="00D07BD6"/>
    <w:rsid w:val="00D129B7"/>
    <w:rsid w:val="00D163ED"/>
    <w:rsid w:val="00D17B2A"/>
    <w:rsid w:val="00D17E66"/>
    <w:rsid w:val="00D33D30"/>
    <w:rsid w:val="00D35BE3"/>
    <w:rsid w:val="00D41A85"/>
    <w:rsid w:val="00D42428"/>
    <w:rsid w:val="00D44208"/>
    <w:rsid w:val="00D448C8"/>
    <w:rsid w:val="00D459A3"/>
    <w:rsid w:val="00D4671F"/>
    <w:rsid w:val="00D50869"/>
    <w:rsid w:val="00D53B05"/>
    <w:rsid w:val="00D61EE7"/>
    <w:rsid w:val="00D72FD3"/>
    <w:rsid w:val="00D73F8E"/>
    <w:rsid w:val="00D80C01"/>
    <w:rsid w:val="00D86AA8"/>
    <w:rsid w:val="00D909F7"/>
    <w:rsid w:val="00D93C09"/>
    <w:rsid w:val="00D94E9E"/>
    <w:rsid w:val="00DA6094"/>
    <w:rsid w:val="00DB7A71"/>
    <w:rsid w:val="00DC187D"/>
    <w:rsid w:val="00DC2BE4"/>
    <w:rsid w:val="00DD487C"/>
    <w:rsid w:val="00DD4C9A"/>
    <w:rsid w:val="00DD680B"/>
    <w:rsid w:val="00DD6FF0"/>
    <w:rsid w:val="00DE653D"/>
    <w:rsid w:val="00DF0023"/>
    <w:rsid w:val="00DF5D20"/>
    <w:rsid w:val="00E021CC"/>
    <w:rsid w:val="00E068E8"/>
    <w:rsid w:val="00E071BB"/>
    <w:rsid w:val="00E10BBA"/>
    <w:rsid w:val="00E150E0"/>
    <w:rsid w:val="00E17513"/>
    <w:rsid w:val="00E2299A"/>
    <w:rsid w:val="00E364CD"/>
    <w:rsid w:val="00E407F5"/>
    <w:rsid w:val="00E445CB"/>
    <w:rsid w:val="00E46C01"/>
    <w:rsid w:val="00E54CAF"/>
    <w:rsid w:val="00E56157"/>
    <w:rsid w:val="00E61C2C"/>
    <w:rsid w:val="00E802AB"/>
    <w:rsid w:val="00E8048D"/>
    <w:rsid w:val="00E81030"/>
    <w:rsid w:val="00E85428"/>
    <w:rsid w:val="00E94EB4"/>
    <w:rsid w:val="00EA0261"/>
    <w:rsid w:val="00EA23EF"/>
    <w:rsid w:val="00EA7955"/>
    <w:rsid w:val="00EB63F4"/>
    <w:rsid w:val="00EB79BF"/>
    <w:rsid w:val="00EC3AC7"/>
    <w:rsid w:val="00EE3902"/>
    <w:rsid w:val="00EF2D1C"/>
    <w:rsid w:val="00EF5E33"/>
    <w:rsid w:val="00F04FA7"/>
    <w:rsid w:val="00F0663F"/>
    <w:rsid w:val="00F161D9"/>
    <w:rsid w:val="00F1637C"/>
    <w:rsid w:val="00F21A25"/>
    <w:rsid w:val="00F23C35"/>
    <w:rsid w:val="00F25295"/>
    <w:rsid w:val="00F3284D"/>
    <w:rsid w:val="00F5183A"/>
    <w:rsid w:val="00F51BC1"/>
    <w:rsid w:val="00F5426C"/>
    <w:rsid w:val="00F606E8"/>
    <w:rsid w:val="00F62A69"/>
    <w:rsid w:val="00F66A26"/>
    <w:rsid w:val="00F6786E"/>
    <w:rsid w:val="00F7144D"/>
    <w:rsid w:val="00F7328D"/>
    <w:rsid w:val="00F82187"/>
    <w:rsid w:val="00F83C56"/>
    <w:rsid w:val="00F85BAB"/>
    <w:rsid w:val="00FA235D"/>
    <w:rsid w:val="00FB02C1"/>
    <w:rsid w:val="00FB5D68"/>
    <w:rsid w:val="00FB69BC"/>
    <w:rsid w:val="00FB79A5"/>
    <w:rsid w:val="00FD0026"/>
    <w:rsid w:val="00FD474E"/>
    <w:rsid w:val="00FF6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366B8"/>
  <w15:chartTrackingRefBased/>
  <w15:docId w15:val="{BA959D71-D1E4-454C-9EAD-8C57E94B4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inorHAnsi" w:hAnsiTheme="majorHAnsi" w:cstheme="majorHAnsi"/>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26E"/>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7C726E"/>
    <w:pPr>
      <w:keepNext/>
      <w:keepLines/>
      <w:spacing w:before="360" w:after="80"/>
      <w:outlineLvl w:val="0"/>
    </w:pPr>
    <w:rPr>
      <w:rFonts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726E"/>
    <w:pPr>
      <w:keepNext/>
      <w:keepLines/>
      <w:spacing w:before="160" w:after="80"/>
      <w:outlineLvl w:val="1"/>
    </w:pPr>
    <w:rPr>
      <w:rFonts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726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726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C726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C726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C726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C726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C726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726E"/>
    <w:rPr>
      <w:rFonts w:eastAsiaTheme="majorEastAsia"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726E"/>
    <w:rPr>
      <w:rFonts w:eastAsiaTheme="majorEastAsia"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726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726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C726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C726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C726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C726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C726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C726E"/>
    <w:pPr>
      <w:spacing w:after="8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C726E"/>
    <w:rPr>
      <w:rFonts w:eastAsiaTheme="majorEastAsia" w:cstheme="majorBidi"/>
      <w:spacing w:val="-10"/>
      <w:kern w:val="28"/>
      <w:sz w:val="56"/>
      <w:szCs w:val="56"/>
    </w:rPr>
  </w:style>
  <w:style w:type="paragraph" w:styleId="Subtitle">
    <w:name w:val="Subtitle"/>
    <w:basedOn w:val="Normal"/>
    <w:next w:val="Normal"/>
    <w:link w:val="SubtitleChar"/>
    <w:uiPriority w:val="11"/>
    <w:qFormat/>
    <w:rsid w:val="007C726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726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C726E"/>
    <w:pPr>
      <w:spacing w:before="160"/>
      <w:jc w:val="center"/>
    </w:pPr>
    <w:rPr>
      <w:i/>
      <w:iCs/>
      <w:color w:val="404040" w:themeColor="text1" w:themeTint="BF"/>
    </w:rPr>
  </w:style>
  <w:style w:type="character" w:customStyle="1" w:styleId="QuoteChar">
    <w:name w:val="Quote Char"/>
    <w:basedOn w:val="DefaultParagraphFont"/>
    <w:link w:val="Quote"/>
    <w:uiPriority w:val="29"/>
    <w:rsid w:val="007C726E"/>
    <w:rPr>
      <w:i/>
      <w:iCs/>
      <w:color w:val="404040" w:themeColor="text1" w:themeTint="BF"/>
    </w:rPr>
  </w:style>
  <w:style w:type="paragraph" w:styleId="ListParagraph">
    <w:name w:val="List Paragraph"/>
    <w:basedOn w:val="Normal"/>
    <w:uiPriority w:val="34"/>
    <w:qFormat/>
    <w:rsid w:val="007C726E"/>
    <w:pPr>
      <w:ind w:left="720"/>
      <w:contextualSpacing/>
    </w:pPr>
  </w:style>
  <w:style w:type="character" w:styleId="IntenseEmphasis">
    <w:name w:val="Intense Emphasis"/>
    <w:basedOn w:val="DefaultParagraphFont"/>
    <w:uiPriority w:val="21"/>
    <w:qFormat/>
    <w:rsid w:val="007C726E"/>
    <w:rPr>
      <w:i/>
      <w:iCs/>
      <w:color w:val="0F4761" w:themeColor="accent1" w:themeShade="BF"/>
    </w:rPr>
  </w:style>
  <w:style w:type="paragraph" w:styleId="IntenseQuote">
    <w:name w:val="Intense Quote"/>
    <w:basedOn w:val="Normal"/>
    <w:next w:val="Normal"/>
    <w:link w:val="IntenseQuoteChar"/>
    <w:uiPriority w:val="30"/>
    <w:qFormat/>
    <w:rsid w:val="007C72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726E"/>
    <w:rPr>
      <w:i/>
      <w:iCs/>
      <w:color w:val="0F4761" w:themeColor="accent1" w:themeShade="BF"/>
    </w:rPr>
  </w:style>
  <w:style w:type="character" w:styleId="IntenseReference">
    <w:name w:val="Intense Reference"/>
    <w:basedOn w:val="DefaultParagraphFont"/>
    <w:uiPriority w:val="32"/>
    <w:qFormat/>
    <w:rsid w:val="007C726E"/>
    <w:rPr>
      <w:b/>
      <w:bCs/>
      <w:smallCaps/>
      <w:color w:val="0F4761" w:themeColor="accent1" w:themeShade="BF"/>
      <w:spacing w:val="5"/>
    </w:rPr>
  </w:style>
  <w:style w:type="paragraph" w:styleId="Header">
    <w:name w:val="header"/>
    <w:basedOn w:val="Normal"/>
    <w:link w:val="HeaderChar"/>
    <w:uiPriority w:val="99"/>
    <w:unhideWhenUsed/>
    <w:rsid w:val="007C726E"/>
    <w:pPr>
      <w:tabs>
        <w:tab w:val="center" w:pos="4680"/>
        <w:tab w:val="right" w:pos="9360"/>
      </w:tabs>
    </w:pPr>
  </w:style>
  <w:style w:type="character" w:customStyle="1" w:styleId="HeaderChar">
    <w:name w:val="Header Char"/>
    <w:basedOn w:val="DefaultParagraphFont"/>
    <w:link w:val="Header"/>
    <w:uiPriority w:val="99"/>
    <w:rsid w:val="007C726E"/>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7C726E"/>
    <w:pPr>
      <w:tabs>
        <w:tab w:val="center" w:pos="4680"/>
        <w:tab w:val="right" w:pos="9360"/>
      </w:tabs>
    </w:pPr>
  </w:style>
  <w:style w:type="character" w:customStyle="1" w:styleId="FooterChar">
    <w:name w:val="Footer Char"/>
    <w:basedOn w:val="DefaultParagraphFont"/>
    <w:link w:val="Footer"/>
    <w:uiPriority w:val="99"/>
    <w:rsid w:val="007C726E"/>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1897582">
      <w:bodyDiv w:val="1"/>
      <w:marLeft w:val="0"/>
      <w:marRight w:val="0"/>
      <w:marTop w:val="0"/>
      <w:marBottom w:val="0"/>
      <w:divBdr>
        <w:top w:val="none" w:sz="0" w:space="0" w:color="auto"/>
        <w:left w:val="none" w:sz="0" w:space="0" w:color="auto"/>
        <w:bottom w:val="none" w:sz="0" w:space="0" w:color="auto"/>
        <w:right w:val="none" w:sz="0" w:space="0" w:color="auto"/>
      </w:divBdr>
      <w:divsChild>
        <w:div w:id="1263415324">
          <w:marLeft w:val="0"/>
          <w:marRight w:val="0"/>
          <w:marTop w:val="0"/>
          <w:marBottom w:val="0"/>
          <w:divBdr>
            <w:top w:val="none" w:sz="0" w:space="0" w:color="3D3D3D"/>
            <w:left w:val="none" w:sz="0" w:space="0" w:color="3D3D3D"/>
            <w:bottom w:val="none" w:sz="0" w:space="0" w:color="3D3D3D"/>
            <w:right w:val="none" w:sz="0" w:space="0" w:color="3D3D3D"/>
          </w:divBdr>
        </w:div>
      </w:divsChild>
    </w:div>
    <w:div w:id="1272274780">
      <w:bodyDiv w:val="1"/>
      <w:marLeft w:val="0"/>
      <w:marRight w:val="0"/>
      <w:marTop w:val="0"/>
      <w:marBottom w:val="0"/>
      <w:divBdr>
        <w:top w:val="none" w:sz="0" w:space="0" w:color="auto"/>
        <w:left w:val="none" w:sz="0" w:space="0" w:color="auto"/>
        <w:bottom w:val="none" w:sz="0" w:space="0" w:color="auto"/>
        <w:right w:val="none" w:sz="0" w:space="0" w:color="auto"/>
      </w:divBdr>
      <w:divsChild>
        <w:div w:id="1851328695">
          <w:marLeft w:val="0"/>
          <w:marRight w:val="0"/>
          <w:marTop w:val="0"/>
          <w:marBottom w:val="0"/>
          <w:divBdr>
            <w:top w:val="none" w:sz="0" w:space="0" w:color="3D3D3D"/>
            <w:left w:val="none" w:sz="0" w:space="0" w:color="3D3D3D"/>
            <w:bottom w:val="none" w:sz="0" w:space="0" w:color="3D3D3D"/>
            <w:right w:val="none" w:sz="0" w:space="0" w:color="3D3D3D"/>
          </w:divBdr>
        </w:div>
      </w:divsChild>
    </w:div>
    <w:div w:id="2126072340">
      <w:bodyDiv w:val="1"/>
      <w:marLeft w:val="0"/>
      <w:marRight w:val="0"/>
      <w:marTop w:val="0"/>
      <w:marBottom w:val="0"/>
      <w:divBdr>
        <w:top w:val="none" w:sz="0" w:space="0" w:color="auto"/>
        <w:left w:val="none" w:sz="0" w:space="0" w:color="auto"/>
        <w:bottom w:val="none" w:sz="0" w:space="0" w:color="auto"/>
        <w:right w:val="none" w:sz="0" w:space="0" w:color="auto"/>
      </w:divBdr>
      <w:divsChild>
        <w:div w:id="1959751925">
          <w:marLeft w:val="0"/>
          <w:marRight w:val="0"/>
          <w:marTop w:val="0"/>
          <w:marBottom w:val="0"/>
          <w:divBdr>
            <w:top w:val="none" w:sz="0" w:space="0" w:color="3D3D3D"/>
            <w:left w:val="none" w:sz="0" w:space="0" w:color="3D3D3D"/>
            <w:bottom w:val="none" w:sz="0" w:space="0" w:color="3D3D3D"/>
            <w:right w:val="none" w:sz="0" w:space="0" w:color="3D3D3D"/>
          </w:divBdr>
          <w:divsChild>
            <w:div w:id="13260578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129666092">
      <w:bodyDiv w:val="1"/>
      <w:marLeft w:val="0"/>
      <w:marRight w:val="0"/>
      <w:marTop w:val="0"/>
      <w:marBottom w:val="0"/>
      <w:divBdr>
        <w:top w:val="none" w:sz="0" w:space="0" w:color="auto"/>
        <w:left w:val="none" w:sz="0" w:space="0" w:color="auto"/>
        <w:bottom w:val="none" w:sz="0" w:space="0" w:color="auto"/>
        <w:right w:val="none" w:sz="0" w:space="0" w:color="auto"/>
      </w:divBdr>
      <w:divsChild>
        <w:div w:id="246958232">
          <w:marLeft w:val="0"/>
          <w:marRight w:val="0"/>
          <w:marTop w:val="0"/>
          <w:marBottom w:val="0"/>
          <w:divBdr>
            <w:top w:val="none" w:sz="0" w:space="0" w:color="3D3D3D"/>
            <w:left w:val="none" w:sz="0" w:space="0" w:color="3D3D3D"/>
            <w:bottom w:val="none" w:sz="0" w:space="0" w:color="3D3D3D"/>
            <w:right w:val="none" w:sz="0" w:space="0" w:color="3D3D3D"/>
          </w:divBdr>
          <w:divsChild>
            <w:div w:id="155807941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1246</Words>
  <Characters>7108</Characters>
  <Application>Microsoft Office Word</Application>
  <DocSecurity>0</DocSecurity>
  <Lines>59</Lines>
  <Paragraphs>16</Paragraphs>
  <ScaleCrop>false</ScaleCrop>
  <Company/>
  <LinksUpToDate>false</LinksUpToDate>
  <CharactersWithSpaces>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J. Circo</dc:creator>
  <cp:keywords/>
  <dc:description/>
  <cp:lastModifiedBy>Bailey Lovett</cp:lastModifiedBy>
  <cp:revision>2</cp:revision>
  <dcterms:created xsi:type="dcterms:W3CDTF">2024-09-24T19:02:00Z</dcterms:created>
  <dcterms:modified xsi:type="dcterms:W3CDTF">2024-09-24T19:02:00Z</dcterms:modified>
</cp:coreProperties>
</file>