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D74B" w14:textId="77777777" w:rsidR="006319D6" w:rsidRDefault="006319D6" w:rsidP="006319D6">
      <w:pPr>
        <w:rPr>
          <w:b/>
          <w:bCs/>
        </w:rPr>
      </w:pPr>
      <w:r w:rsidRPr="438B8011">
        <w:rPr>
          <w:b/>
          <w:bCs/>
        </w:rPr>
        <w:t>Construction and Design Law: Managing the Network of Interdependent Relationships</w:t>
      </w:r>
    </w:p>
    <w:p w14:paraId="4EAD39A7" w14:textId="77777777" w:rsidR="006319D6" w:rsidRDefault="006319D6" w:rsidP="006319D6">
      <w:pPr>
        <w:jc w:val="center"/>
      </w:pPr>
    </w:p>
    <w:p w14:paraId="66899A9A" w14:textId="77777777" w:rsidR="006319D6" w:rsidRDefault="006319D6" w:rsidP="006319D6">
      <w:pPr>
        <w:jc w:val="center"/>
      </w:pPr>
      <w:r>
        <w:t>Carl J. Circo</w:t>
      </w:r>
    </w:p>
    <w:p w14:paraId="47FCE51B" w14:textId="77777777" w:rsidR="006319D6" w:rsidRDefault="006319D6" w:rsidP="006319D6">
      <w:pPr>
        <w:jc w:val="center"/>
      </w:pPr>
    </w:p>
    <w:p w14:paraId="4BEE0A82" w14:textId="516AE11A" w:rsidR="006319D6" w:rsidRDefault="006319D6" w:rsidP="006319D6">
      <w:pPr>
        <w:keepNext/>
        <w:rPr>
          <w:b/>
          <w:bCs/>
        </w:rPr>
      </w:pPr>
      <w:r w:rsidRPr="636C9287">
        <w:rPr>
          <w:b/>
          <w:bCs/>
        </w:rPr>
        <w:t xml:space="preserve">Lesson </w:t>
      </w:r>
      <w:r>
        <w:rPr>
          <w:b/>
          <w:bCs/>
        </w:rPr>
        <w:t>6</w:t>
      </w:r>
      <w:r w:rsidRPr="636C9287">
        <w:rPr>
          <w:b/>
          <w:bCs/>
        </w:rPr>
        <w:t xml:space="preserve">: </w:t>
      </w:r>
      <w:r>
        <w:rPr>
          <w:b/>
          <w:bCs/>
        </w:rPr>
        <w:t>Subcontractors and Suppliers</w:t>
      </w:r>
      <w:r w:rsidRPr="636C9287">
        <w:rPr>
          <w:b/>
          <w:bCs/>
        </w:rPr>
        <w:t xml:space="preserve"> </w:t>
      </w:r>
    </w:p>
    <w:p w14:paraId="061604EE" w14:textId="77777777" w:rsidR="006319D6" w:rsidRPr="00BE1115" w:rsidRDefault="006319D6" w:rsidP="006319D6">
      <w:pPr>
        <w:keepNext/>
        <w:rPr>
          <w:b/>
          <w:bCs/>
        </w:rPr>
      </w:pPr>
    </w:p>
    <w:p w14:paraId="59B48046" w14:textId="7812808F" w:rsidR="009B7B66" w:rsidRDefault="008F739F" w:rsidP="006319D6">
      <w:pPr>
        <w:ind w:firstLine="720"/>
      </w:pPr>
      <w:r>
        <w:t xml:space="preserve">For most construction projects, </w:t>
      </w:r>
      <w:r w:rsidR="0078495E">
        <w:t>the primary builder</w:t>
      </w:r>
      <w:r w:rsidR="005F4574">
        <w:t xml:space="preserve"> (</w:t>
      </w:r>
      <w:r w:rsidR="00A35470">
        <w:t xml:space="preserve">commonly </w:t>
      </w:r>
      <w:r w:rsidR="00D31D0C">
        <w:t>called</w:t>
      </w:r>
      <w:r w:rsidR="00A35470">
        <w:t xml:space="preserve"> </w:t>
      </w:r>
      <w:r w:rsidR="005F4574">
        <w:t>the “general contractor”</w:t>
      </w:r>
      <w:r w:rsidR="00A35470">
        <w:t>)</w:t>
      </w:r>
      <w:r w:rsidR="0078495E">
        <w:t xml:space="preserve"> retains </w:t>
      </w:r>
      <w:r>
        <w:t xml:space="preserve">subcontractors and suppliers </w:t>
      </w:r>
      <w:r w:rsidR="0078495E">
        <w:t xml:space="preserve">to </w:t>
      </w:r>
      <w:r>
        <w:t>provide much</w:t>
      </w:r>
      <w:r w:rsidR="0078495E">
        <w:t xml:space="preserve"> (often most or even nearly all)</w:t>
      </w:r>
      <w:r>
        <w:t xml:space="preserve"> t</w:t>
      </w:r>
      <w:r w:rsidR="00AC644C">
        <w:t>he work and services</w:t>
      </w:r>
      <w:r w:rsidR="00134E84">
        <w:t xml:space="preserve"> required to construct the project</w:t>
      </w:r>
      <w:r>
        <w:t>.</w:t>
      </w:r>
      <w:r w:rsidR="0078495E">
        <w:t xml:space="preserve"> </w:t>
      </w:r>
      <w:r w:rsidR="00DE504A">
        <w:t>In turn, subcontractors and suppliers</w:t>
      </w:r>
      <w:r w:rsidR="00AE1489">
        <w:t xml:space="preserve"> who contract directly with</w:t>
      </w:r>
      <w:r w:rsidR="00DE504A">
        <w:t xml:space="preserve"> the </w:t>
      </w:r>
      <w:r w:rsidR="00A35470">
        <w:t>general contractor</w:t>
      </w:r>
      <w:r w:rsidR="00DE504A">
        <w:t xml:space="preserve"> often retain</w:t>
      </w:r>
      <w:r w:rsidR="00C552F9">
        <w:t xml:space="preserve"> others to perform </w:t>
      </w:r>
      <w:r w:rsidR="00C835E9">
        <w:t>some</w:t>
      </w:r>
      <w:r w:rsidR="00C552F9">
        <w:t xml:space="preserve"> work</w:t>
      </w:r>
      <w:r w:rsidR="00C835E9">
        <w:t>,</w:t>
      </w:r>
      <w:r w:rsidR="00C552F9">
        <w:t xml:space="preserve"> provide certain services</w:t>
      </w:r>
      <w:r w:rsidR="00C835E9">
        <w:t>, and manufacture, supply</w:t>
      </w:r>
      <w:r w:rsidR="006A7D48">
        <w:t>,</w:t>
      </w:r>
      <w:r w:rsidR="00C835E9">
        <w:t xml:space="preserve"> or install special materials and equipment.</w:t>
      </w:r>
      <w:r w:rsidR="00C552F9">
        <w:t xml:space="preserve"> Indeed, most </w:t>
      </w:r>
      <w:r w:rsidR="00357FF5">
        <w:t xml:space="preserve">projects involve multiple tiers of subcontractors and suppliers. </w:t>
      </w:r>
      <w:r w:rsidR="002B4EE5">
        <w:t xml:space="preserve">Although </w:t>
      </w:r>
      <w:r w:rsidR="004E4BC7">
        <w:t xml:space="preserve">the law governing </w:t>
      </w:r>
      <w:r w:rsidR="00E572B0">
        <w:t xml:space="preserve">these relationships is generally consistent for both </w:t>
      </w:r>
      <w:r w:rsidR="004E4BC7">
        <w:t xml:space="preserve">subcontractors and </w:t>
      </w:r>
      <w:r w:rsidR="00E572B0">
        <w:t>suppliers</w:t>
      </w:r>
      <w:r w:rsidR="00D231E7">
        <w:t xml:space="preserve"> throughout all tiers</w:t>
      </w:r>
      <w:r w:rsidR="00E572B0">
        <w:t xml:space="preserve">, </w:t>
      </w:r>
      <w:r w:rsidR="0016751D">
        <w:t xml:space="preserve">if a contract with either a subcontractor or a supplier </w:t>
      </w:r>
      <w:r w:rsidR="00616130">
        <w:t>is</w:t>
      </w:r>
      <w:r w:rsidR="0016751D">
        <w:t xml:space="preserve"> primarily for the sale of goods</w:t>
      </w:r>
      <w:r w:rsidR="004B4537">
        <w:t xml:space="preserve"> rather than for the performance of services</w:t>
      </w:r>
      <w:r w:rsidR="006E3928">
        <w:t>, then a court should apply Article 2 of the Uniform Comm</w:t>
      </w:r>
      <w:r w:rsidR="00920392">
        <w:t>ercial Code</w:t>
      </w:r>
      <w:r w:rsidR="00616130">
        <w:t>, which favors</w:t>
      </w:r>
      <w:r w:rsidR="009D7D03">
        <w:t xml:space="preserve"> standards and</w:t>
      </w:r>
      <w:r w:rsidR="00616130">
        <w:t xml:space="preserve"> </w:t>
      </w:r>
      <w:r w:rsidR="00521F3A">
        <w:t xml:space="preserve">guiding </w:t>
      </w:r>
      <w:r w:rsidR="00616130">
        <w:t>principles</w:t>
      </w:r>
      <w:r w:rsidR="002D6C85">
        <w:t xml:space="preserve"> tha</w:t>
      </w:r>
      <w:r w:rsidR="00E23D2B">
        <w:t>t</w:t>
      </w:r>
      <w:r w:rsidR="002D6C85">
        <w:t xml:space="preserve"> can be somewhat</w:t>
      </w:r>
      <w:r w:rsidR="00616130">
        <w:t xml:space="preserve"> </w:t>
      </w:r>
      <w:r w:rsidR="000447FE">
        <w:t>more</w:t>
      </w:r>
      <w:r w:rsidR="00E23D2B">
        <w:t xml:space="preserve"> flexible</w:t>
      </w:r>
      <w:r w:rsidR="000447FE">
        <w:t xml:space="preserve"> than </w:t>
      </w:r>
      <w:r w:rsidR="00FC2E6D">
        <w:t xml:space="preserve">the common law of contracts. See </w:t>
      </w:r>
      <w:r w:rsidR="00BE1F3E">
        <w:t xml:space="preserve">Charles W. Surasky &amp; John S. Tobey, </w:t>
      </w:r>
      <w:r w:rsidR="00BE1F3E">
        <w:rPr>
          <w:i/>
          <w:iCs/>
        </w:rPr>
        <w:t>The Application of the U.C.C</w:t>
      </w:r>
      <w:r w:rsidR="00D76C2F">
        <w:t>.</w:t>
      </w:r>
      <w:r w:rsidR="00BE1F3E">
        <w:t xml:space="preserve"> </w:t>
      </w:r>
      <w:r w:rsidR="00BE1F3E" w:rsidRPr="00BE1F3E">
        <w:rPr>
          <w:i/>
          <w:iCs/>
        </w:rPr>
        <w:t>to a Contractor’s Relationship with its Suppliers</w:t>
      </w:r>
      <w:r w:rsidR="00BE1F3E">
        <w:t>,</w:t>
      </w:r>
      <w:r w:rsidR="002F48E1">
        <w:t xml:space="preserve"> </w:t>
      </w:r>
      <w:r w:rsidR="009E40D4">
        <w:t xml:space="preserve">29 </w:t>
      </w:r>
      <w:r w:rsidR="00D1489F">
        <w:t xml:space="preserve">Constr. Law. </w:t>
      </w:r>
      <w:r w:rsidR="002F48E1">
        <w:t>3</w:t>
      </w:r>
      <w:r w:rsidR="00353989">
        <w:t>5 (</w:t>
      </w:r>
      <w:r w:rsidR="00D1489F">
        <w:t>Fall 2009</w:t>
      </w:r>
      <w:r w:rsidR="00353989">
        <w:t>)</w:t>
      </w:r>
      <w:r w:rsidR="00D1489F">
        <w:t>.</w:t>
      </w:r>
    </w:p>
    <w:p w14:paraId="1EADD5F6" w14:textId="77777777" w:rsidR="009B7B66" w:rsidRDefault="009B7B66" w:rsidP="006319D6">
      <w:pPr>
        <w:ind w:firstLine="720"/>
      </w:pPr>
    </w:p>
    <w:p w14:paraId="0C3C145C" w14:textId="5459FFE9" w:rsidR="0078495E" w:rsidRDefault="0068322F" w:rsidP="006319D6">
      <w:pPr>
        <w:ind w:firstLine="720"/>
      </w:pPr>
      <w:r>
        <w:t xml:space="preserve">Subcontractors and suppliers share many of the </w:t>
      </w:r>
      <w:r w:rsidR="00B131E6">
        <w:t>general contractor’s</w:t>
      </w:r>
      <w:r>
        <w:t xml:space="preserve"> perspectives, concerns, and goals,</w:t>
      </w:r>
      <w:r w:rsidR="00257A60">
        <w:t xml:space="preserve"> such as establishing a clear definition of the scope of their work and services, </w:t>
      </w:r>
      <w:r w:rsidR="004C2CAE">
        <w:t>managing changing circumstances,</w:t>
      </w:r>
      <w:r w:rsidR="00114077">
        <w:t xml:space="preserve"> securing</w:t>
      </w:r>
      <w:r w:rsidR="00614A66">
        <w:t xml:space="preserve"> or confirming</w:t>
      </w:r>
      <w:r w:rsidR="001E26C3">
        <w:t xml:space="preserve"> appropriate insurance coverages,</w:t>
      </w:r>
      <w:r w:rsidR="00E80492">
        <w:t xml:space="preserve"> and</w:t>
      </w:r>
      <w:r w:rsidR="004C2CAE">
        <w:t xml:space="preserve"> </w:t>
      </w:r>
      <w:r w:rsidR="001E26C3">
        <w:t xml:space="preserve">maintaining </w:t>
      </w:r>
      <w:r w:rsidR="00257A60">
        <w:t>payment protections</w:t>
      </w:r>
      <w:r w:rsidR="00E80492">
        <w:t xml:space="preserve">. Their circumstances, however, complicate some of these </w:t>
      </w:r>
      <w:r w:rsidR="00141FB8">
        <w:t xml:space="preserve">matters and involve others as well. For example, because subcontractors and suppliers </w:t>
      </w:r>
      <w:r w:rsidR="00650DD4">
        <w:t xml:space="preserve">normally have no </w:t>
      </w:r>
      <w:r w:rsidR="00BC7325">
        <w:t>contracts</w:t>
      </w:r>
      <w:r w:rsidR="00650DD4">
        <w:t xml:space="preserve"> with the project owner or the project architect</w:t>
      </w:r>
      <w:r w:rsidR="006C640B">
        <w:t xml:space="preserve"> or engineer</w:t>
      </w:r>
      <w:r w:rsidR="00650DD4">
        <w:t>, they must rely on their</w:t>
      </w:r>
      <w:r w:rsidR="006329E6">
        <w:t xml:space="preserve"> own</w:t>
      </w:r>
      <w:r w:rsidR="00650DD4">
        <w:t xml:space="preserve"> contracting partner </w:t>
      </w:r>
      <w:r w:rsidR="00BC7325">
        <w:t>to some extent concerning those relationships</w:t>
      </w:r>
      <w:r w:rsidR="009B7B66">
        <w:t xml:space="preserve">. </w:t>
      </w:r>
    </w:p>
    <w:p w14:paraId="1F9F9515" w14:textId="1F1BE565" w:rsidR="00AC644C" w:rsidRDefault="008F739F" w:rsidP="006319D6">
      <w:pPr>
        <w:ind w:firstLine="720"/>
      </w:pPr>
      <w:r>
        <w:t xml:space="preserve"> </w:t>
      </w:r>
    </w:p>
    <w:p w14:paraId="0A837BEF" w14:textId="3623B787" w:rsidR="00F0247B" w:rsidRDefault="00F0247B" w:rsidP="006319D6">
      <w:pPr>
        <w:ind w:firstLine="720"/>
      </w:pPr>
      <w:r>
        <w:t xml:space="preserve">In </w:t>
      </w:r>
      <w:r w:rsidR="00EC138E">
        <w:t>previous</w:t>
      </w:r>
      <w:r>
        <w:t xml:space="preserve"> </w:t>
      </w:r>
      <w:r w:rsidR="00EC138E">
        <w:t>l</w:t>
      </w:r>
      <w:r>
        <w:t>esson</w:t>
      </w:r>
      <w:r w:rsidR="00EC138E">
        <w:t>s</w:t>
      </w:r>
      <w:r>
        <w:t xml:space="preserve">, you encountered the AIA’s general conditions </w:t>
      </w:r>
      <w:r w:rsidR="00BF7521">
        <w:t xml:space="preserve">for </w:t>
      </w:r>
      <w:r>
        <w:t>a design-bid-build project, A201</w:t>
      </w:r>
      <w:r w:rsidR="00BF7521">
        <w:t xml:space="preserve">. This document is </w:t>
      </w:r>
      <w:r w:rsidR="00312428">
        <w:t>“</w:t>
      </w:r>
      <w:r w:rsidR="00BF7521">
        <w:t>general</w:t>
      </w:r>
      <w:r w:rsidR="00312428">
        <w:t>”</w:t>
      </w:r>
      <w:r w:rsidR="00BF7521">
        <w:t xml:space="preserve"> in more than the sense that it provides general terms and conditions of the primary construction contract. </w:t>
      </w:r>
      <w:r w:rsidR="004B2A51">
        <w:t>Under the AIA approach, A201 is also incorporated by reference into most</w:t>
      </w:r>
      <w:r w:rsidR="00C41335">
        <w:t xml:space="preserve"> of the general contractor’s</w:t>
      </w:r>
      <w:r w:rsidR="004B2A51">
        <w:t xml:space="preserve"> subcontracts.</w:t>
      </w:r>
      <w:r w:rsidR="0075469D">
        <w:t xml:space="preserve"> Additionally, A201 includes detailed provisions concerning </w:t>
      </w:r>
      <w:r w:rsidR="005B3743">
        <w:t xml:space="preserve">the </w:t>
      </w:r>
      <w:r w:rsidR="009E5021">
        <w:t>general contractor’s</w:t>
      </w:r>
      <w:r w:rsidR="005B3743">
        <w:t xml:space="preserve"> obligation to pay subcontractors. Read Article 5 and section 9.6 of A201</w:t>
      </w:r>
      <w:r w:rsidR="00A30966">
        <w:t>, which address these matters.</w:t>
      </w:r>
    </w:p>
    <w:p w14:paraId="2E60496C" w14:textId="77777777" w:rsidR="00E97DDC" w:rsidRDefault="00E97DDC" w:rsidP="006319D6">
      <w:pPr>
        <w:ind w:firstLine="720"/>
      </w:pPr>
    </w:p>
    <w:p w14:paraId="382E7A92" w14:textId="2973E72F" w:rsidR="00E97DDC" w:rsidRDefault="00E97DDC" w:rsidP="006319D6">
      <w:pPr>
        <w:ind w:firstLine="720"/>
      </w:pPr>
      <w:r>
        <w:t>Article 5 d</w:t>
      </w:r>
      <w:r w:rsidR="00A64E85">
        <w:t xml:space="preserve">efines “Subcontractor” broadly enough to include </w:t>
      </w:r>
      <w:r w:rsidR="005A3DFD">
        <w:t xml:space="preserve">suppliers </w:t>
      </w:r>
      <w:r w:rsidR="001475D3">
        <w:t>having</w:t>
      </w:r>
      <w:r w:rsidR="005A3DFD">
        <w:t xml:space="preserve"> direct contracts with the </w:t>
      </w:r>
      <w:r w:rsidR="00A94DA1">
        <w:t>general contractor</w:t>
      </w:r>
      <w:r w:rsidR="00CA2173">
        <w:t xml:space="preserve"> to </w:t>
      </w:r>
      <w:r w:rsidR="00DA1C06">
        <w:t>perform work on the project site,</w:t>
      </w:r>
      <w:r w:rsidR="005A3DFD">
        <w:t xml:space="preserve"> and it also addresses </w:t>
      </w:r>
      <w:r w:rsidR="00871D81">
        <w:t>“Sub-subcontractors”</w:t>
      </w:r>
      <w:r w:rsidR="00F15AD0">
        <w:t xml:space="preserve"> who perform on-site work.</w:t>
      </w:r>
      <w:r w:rsidR="00871D81">
        <w:t xml:space="preserve"> </w:t>
      </w:r>
      <w:r w:rsidR="002A1B97">
        <w:t>N</w:t>
      </w:r>
      <w:r w:rsidR="00AA76B1">
        <w:t xml:space="preserve">ote how section 5.2 involves the owner and the owner’s architect in the </w:t>
      </w:r>
      <w:r w:rsidR="008362AC">
        <w:t>general contractor’s</w:t>
      </w:r>
      <w:r w:rsidR="00860D72">
        <w:t xml:space="preserve"> award of contracts to subcontractors and suppliers.</w:t>
      </w:r>
      <w:r w:rsidR="003D553E">
        <w:t xml:space="preserve"> One of the most significant provisions of Article 5 is section 5.3, which requires the </w:t>
      </w:r>
      <w:r w:rsidR="00F5242E">
        <w:t>general contractor</w:t>
      </w:r>
      <w:r w:rsidR="003D553E">
        <w:t xml:space="preserve"> to </w:t>
      </w:r>
      <w:r w:rsidR="001D0AC4">
        <w:t xml:space="preserve">bind each direct subcontractor to the </w:t>
      </w:r>
      <w:r w:rsidR="0073366A">
        <w:t xml:space="preserve">terms of the </w:t>
      </w:r>
      <w:r w:rsidR="005B02F9">
        <w:t>“</w:t>
      </w:r>
      <w:r w:rsidR="0073366A">
        <w:t>Contract Documents” for the project</w:t>
      </w:r>
      <w:r w:rsidR="00252F08">
        <w:t xml:space="preserve"> to the extent relevant to the work or services under the subcontract, thereby incorporating A201 into each subcontract to th</w:t>
      </w:r>
      <w:r w:rsidR="00347200">
        <w:t>at</w:t>
      </w:r>
      <w:r w:rsidR="00252F08">
        <w:t xml:space="preserve"> extent</w:t>
      </w:r>
      <w:r w:rsidR="00EC250E">
        <w:t xml:space="preserve">. </w:t>
      </w:r>
      <w:r w:rsidR="00082BB7">
        <w:t>P</w:t>
      </w:r>
      <w:r w:rsidR="00EC250E">
        <w:t xml:space="preserve">rojects not using AIA documents </w:t>
      </w:r>
      <w:r w:rsidR="008E71ED">
        <w:t>often</w:t>
      </w:r>
      <w:r w:rsidR="00EC250E">
        <w:t xml:space="preserve"> </w:t>
      </w:r>
      <w:r w:rsidR="0059072D">
        <w:t>rely on</w:t>
      </w:r>
      <w:r w:rsidR="005B5DC8">
        <w:t xml:space="preserve"> similar clauses</w:t>
      </w:r>
      <w:r w:rsidR="00EC250E">
        <w:t>, commonly referred to as flow-down</w:t>
      </w:r>
      <w:r w:rsidR="00866D65">
        <w:t xml:space="preserve"> provision</w:t>
      </w:r>
      <w:r w:rsidR="003C0250">
        <w:t>s</w:t>
      </w:r>
      <w:r w:rsidR="00EC250E">
        <w:t xml:space="preserve"> </w:t>
      </w:r>
      <w:r w:rsidR="003E3387">
        <w:t>(as to</w:t>
      </w:r>
      <w:r w:rsidR="00866D65">
        <w:t xml:space="preserve"> the</w:t>
      </w:r>
      <w:r w:rsidR="003E3387">
        <w:t xml:space="preserve"> subcontractor’s obligations) </w:t>
      </w:r>
      <w:r w:rsidR="00EC250E">
        <w:t>and flow-up</w:t>
      </w:r>
      <w:r w:rsidR="00866D65">
        <w:t xml:space="preserve"> provision</w:t>
      </w:r>
      <w:r w:rsidR="003C0250">
        <w:t>s</w:t>
      </w:r>
      <w:r w:rsidR="003E3387">
        <w:t xml:space="preserve"> (as to the subcontractor’s rights)</w:t>
      </w:r>
      <w:r w:rsidR="00EC250E">
        <w:t>. While broad</w:t>
      </w:r>
      <w:r w:rsidR="00994E45">
        <w:t>ly</w:t>
      </w:r>
      <w:r w:rsidR="00EC250E">
        <w:t xml:space="preserve"> </w:t>
      </w:r>
      <w:r w:rsidR="00F7711A">
        <w:t>stated</w:t>
      </w:r>
      <w:r w:rsidR="003E3387">
        <w:t xml:space="preserve"> flow-down and flow-up</w:t>
      </w:r>
      <w:r w:rsidR="00A1246C">
        <w:t xml:space="preserve"> features </w:t>
      </w:r>
      <w:r w:rsidR="00A46A4D">
        <w:t xml:space="preserve">reflect the logical objective of maintaining consistency in terms </w:t>
      </w:r>
      <w:r w:rsidR="00A46A4D">
        <w:lastRenderedPageBreak/>
        <w:t xml:space="preserve">governing </w:t>
      </w:r>
      <w:r w:rsidR="001A7FFA">
        <w:t xml:space="preserve">the </w:t>
      </w:r>
      <w:r w:rsidR="00A46A4D">
        <w:t xml:space="preserve">work, </w:t>
      </w:r>
      <w:r w:rsidR="00C41193">
        <w:t>courts and arbitrators sometimes must determine whether or precisely how a</w:t>
      </w:r>
      <w:r w:rsidR="00847D32">
        <w:t xml:space="preserve"> contractual obligation or right passes to a subcontractor or supplier.</w:t>
      </w:r>
      <w:r w:rsidR="00AE0EB2">
        <w:t xml:space="preserve"> </w:t>
      </w:r>
      <w:r w:rsidR="00130414">
        <w:t xml:space="preserve">See </w:t>
      </w:r>
      <w:r w:rsidR="00C45964" w:rsidRPr="00A519CB">
        <w:t xml:space="preserve">Phillip L. Bruner &amp; Patrick J. O’Connor, Jr., </w:t>
      </w:r>
      <w:r w:rsidR="00C45964">
        <w:t>2</w:t>
      </w:r>
      <w:r w:rsidR="00C45964" w:rsidRPr="00A519CB">
        <w:t xml:space="preserve"> </w:t>
      </w:r>
      <w:r w:rsidR="00C45964" w:rsidRPr="00A519CB">
        <w:rPr>
          <w:i/>
          <w:iCs/>
        </w:rPr>
        <w:t>Bruner &amp; O’Connor on Construction Law</w:t>
      </w:r>
      <w:r w:rsidR="00C45964" w:rsidRPr="00A519CB">
        <w:t xml:space="preserve">, </w:t>
      </w:r>
      <w:r w:rsidR="00C45964">
        <w:t>§ 5:137</w:t>
      </w:r>
      <w:r w:rsidR="00C45964" w:rsidRPr="00A519CB">
        <w:t xml:space="preserve"> (Westlaw Aug. 2023).</w:t>
      </w:r>
    </w:p>
    <w:p w14:paraId="210D92FA" w14:textId="77777777" w:rsidR="00D07781" w:rsidRDefault="00D07781" w:rsidP="006319D6">
      <w:pPr>
        <w:ind w:firstLine="720"/>
      </w:pPr>
    </w:p>
    <w:p w14:paraId="5A153EB2" w14:textId="540CA521" w:rsidR="00D07781" w:rsidRDefault="00D07781" w:rsidP="006319D6">
      <w:pPr>
        <w:ind w:firstLine="720"/>
      </w:pPr>
      <w:r>
        <w:t xml:space="preserve">Section 5.4 operates as </w:t>
      </w:r>
      <w:r w:rsidR="00524336">
        <w:t>the general contractor’s</w:t>
      </w:r>
      <w:r>
        <w:t xml:space="preserve"> conditional assignment</w:t>
      </w:r>
      <w:r w:rsidR="00524336">
        <w:t xml:space="preserve"> to the owner</w:t>
      </w:r>
      <w:r>
        <w:t xml:space="preserve"> o</w:t>
      </w:r>
      <w:r w:rsidR="00057229">
        <w:t>f</w:t>
      </w:r>
      <w:r>
        <w:t xml:space="preserve"> each subcontractor. The condition that triggers this assignment is</w:t>
      </w:r>
      <w:r w:rsidR="00E8046A">
        <w:t xml:space="preserve"> the owner’s</w:t>
      </w:r>
      <w:r>
        <w:t xml:space="preserve"> </w:t>
      </w:r>
      <w:r w:rsidR="00E8046A">
        <w:t xml:space="preserve">termination of </w:t>
      </w:r>
      <w:r w:rsidR="0076790D">
        <w:t>the general contractor</w:t>
      </w:r>
      <w:r w:rsidR="007B6BAE">
        <w:t xml:space="preserve">. This provision, in effect, allows the owner to take over subcontract relationships </w:t>
      </w:r>
      <w:r w:rsidR="0076790D">
        <w:t xml:space="preserve">upon the occurrence of the general contractor’s material </w:t>
      </w:r>
      <w:r w:rsidR="007B6BAE">
        <w:t>default</w:t>
      </w:r>
      <w:r w:rsidR="00076479">
        <w:t>.</w:t>
      </w:r>
    </w:p>
    <w:p w14:paraId="33CC93BE" w14:textId="77777777" w:rsidR="00A76F55" w:rsidRDefault="00A76F55" w:rsidP="006319D6">
      <w:pPr>
        <w:ind w:firstLine="720"/>
      </w:pPr>
    </w:p>
    <w:p w14:paraId="7966E8C7" w14:textId="1DB7FBA0" w:rsidR="00A76F55" w:rsidRDefault="00F01AE0" w:rsidP="006319D6">
      <w:pPr>
        <w:ind w:firstLine="720"/>
      </w:pPr>
      <w:r>
        <w:t>Turning now to section</w:t>
      </w:r>
      <w:r w:rsidR="00CD6447">
        <w:t xml:space="preserve"> 9.6 of A201 (Progress Payments)</w:t>
      </w:r>
      <w:r>
        <w:t>, note that this section</w:t>
      </w:r>
      <w:r w:rsidR="00CD6447">
        <w:t xml:space="preserve"> </w:t>
      </w:r>
      <w:r w:rsidR="00E15849">
        <w:t>governs the entire process of periodic payments as construction progresses</w:t>
      </w:r>
      <w:r w:rsidR="007948DE">
        <w:t>. T</w:t>
      </w:r>
      <w:r w:rsidR="00513E87">
        <w:t xml:space="preserve">he purpose of </w:t>
      </w:r>
      <w:r w:rsidR="00E15849">
        <w:t xml:space="preserve">several of its subsections </w:t>
      </w:r>
      <w:r w:rsidR="00513E87">
        <w:t xml:space="preserve">is to help assure that the </w:t>
      </w:r>
      <w:r w:rsidR="0041668E">
        <w:t>general contractor</w:t>
      </w:r>
      <w:r w:rsidR="00513E87">
        <w:t xml:space="preserve"> makes timely payments to subcontractors and supplier</w:t>
      </w:r>
      <w:r w:rsidR="00F227F8">
        <w:t xml:space="preserve">s. Those provisions protect the owner against </w:t>
      </w:r>
      <w:r w:rsidR="00FB5608">
        <w:t>problems that arise when bills are not being paid, especially the risk that subcontractors and suppliers may enforce applicable construction lien rig</w:t>
      </w:r>
      <w:r w:rsidR="002E365B">
        <w:t>hts</w:t>
      </w:r>
      <w:r w:rsidR="00100161">
        <w:t xml:space="preserve"> against the project</w:t>
      </w:r>
      <w:r w:rsidR="002E365B">
        <w:t xml:space="preserve"> to secure payment. </w:t>
      </w:r>
      <w:r w:rsidR="00824CD5">
        <w:t>At the same time, t</w:t>
      </w:r>
      <w:r w:rsidR="002E365B">
        <w:t>hey address some important concerns that subcontractors and suppliers have</w:t>
      </w:r>
      <w:r w:rsidR="00EE2D09">
        <w:t xml:space="preserve"> relating to payment</w:t>
      </w:r>
      <w:r w:rsidR="002E365B">
        <w:t>.</w:t>
      </w:r>
    </w:p>
    <w:p w14:paraId="4660CDE5" w14:textId="77777777" w:rsidR="00F0247B" w:rsidRDefault="00F0247B" w:rsidP="006319D6">
      <w:pPr>
        <w:ind w:firstLine="720"/>
      </w:pPr>
    </w:p>
    <w:p w14:paraId="38EEC175" w14:textId="6FC4C3B4" w:rsidR="008F425A" w:rsidRDefault="00235C7A" w:rsidP="006319D6">
      <w:pPr>
        <w:ind w:firstLine="720"/>
      </w:pPr>
      <w:r>
        <w:t>With this background in mind, read</w:t>
      </w:r>
      <w:r w:rsidR="00727B18">
        <w:t xml:space="preserve"> </w:t>
      </w:r>
      <w:r w:rsidR="00727B18" w:rsidRPr="008E2F91">
        <w:rPr>
          <w:i/>
          <w:iCs/>
        </w:rPr>
        <w:t>A Subcontractor’s View of Construction Contracts</w:t>
      </w:r>
      <w:r w:rsidR="00727B18">
        <w:t xml:space="preserve">, </w:t>
      </w:r>
      <w:r w:rsidR="00D727DF">
        <w:t xml:space="preserve">8 </w:t>
      </w:r>
      <w:r w:rsidR="00727B18" w:rsidRPr="00A50717">
        <w:t>Constr. Law</w:t>
      </w:r>
      <w:r w:rsidR="00727B18">
        <w:t>.</w:t>
      </w:r>
      <w:r w:rsidR="00D727DF">
        <w:t xml:space="preserve"> 1</w:t>
      </w:r>
      <w:r w:rsidR="00727B18">
        <w:t xml:space="preserve"> </w:t>
      </w:r>
      <w:r w:rsidR="00755F00">
        <w:t>(</w:t>
      </w:r>
      <w:r w:rsidR="00727B18">
        <w:t>Jan. 1988</w:t>
      </w:r>
      <w:r w:rsidR="00755F00">
        <w:t>)</w:t>
      </w:r>
      <w:r w:rsidR="008E2F91">
        <w:t>, by Stanley P. Sklar</w:t>
      </w:r>
      <w:r w:rsidR="00727B18">
        <w:t>.</w:t>
      </w:r>
      <w:r w:rsidR="008E2F91">
        <w:t xml:space="preserve"> This </w:t>
      </w:r>
      <w:r w:rsidR="00EC556E">
        <w:t xml:space="preserve">discussion, written many years ago, paints a </w:t>
      </w:r>
      <w:r w:rsidR="00167EA4">
        <w:t>popular picture of the subcontractor’s plight and highlights topics that continue to be among the most important for lawyers advising subcontractors.</w:t>
      </w:r>
      <w:r w:rsidR="00CE7CCE">
        <w:t xml:space="preserve"> </w:t>
      </w:r>
      <w:r w:rsidR="00A90E7B">
        <w:t>As the article indicates,</w:t>
      </w:r>
      <w:r w:rsidR="00CF5B69">
        <w:t xml:space="preserve"> in many situations, subcontractors operate in a highly competitive environment in which they have relatively little opportunity to negotiate contract terms. Of course, </w:t>
      </w:r>
      <w:r w:rsidR="004574EE">
        <w:t>major</w:t>
      </w:r>
      <w:r w:rsidR="00422532">
        <w:t xml:space="preserve"> subcontracting</w:t>
      </w:r>
      <w:r w:rsidR="004574EE">
        <w:t xml:space="preserve"> firms will have more bargaining leverage, as will firms that provide the most specialized work, services, and materials.</w:t>
      </w:r>
      <w:r w:rsidR="008E40D9">
        <w:t xml:space="preserve"> In any event, </w:t>
      </w:r>
      <w:r w:rsidR="00ED2C82">
        <w:t xml:space="preserve">the topics discussed in this article </w:t>
      </w:r>
      <w:r w:rsidR="00FE6CC5">
        <w:t>provide</w:t>
      </w:r>
      <w:r w:rsidR="00ED2C82">
        <w:t xml:space="preserve"> a good checklist and starting point for </w:t>
      </w:r>
      <w:r w:rsidR="00844B14">
        <w:t>a lawyer reviewing a contract for</w:t>
      </w:r>
      <w:r w:rsidR="00FE6CC5">
        <w:t xml:space="preserve"> a</w:t>
      </w:r>
      <w:r w:rsidR="00844B14">
        <w:t xml:space="preserve"> subcontracto</w:t>
      </w:r>
      <w:r w:rsidR="00ED2C82">
        <w:t>r.</w:t>
      </w:r>
      <w:r w:rsidR="00BA48C6">
        <w:t xml:space="preserve"> </w:t>
      </w:r>
      <w:r w:rsidR="00726A39">
        <w:t>Although the article</w:t>
      </w:r>
      <w:r w:rsidR="00933367">
        <w:t>’</w:t>
      </w:r>
      <w:r w:rsidR="00726A39">
        <w:t xml:space="preserve">s references to specific industry documents are now outdated, </w:t>
      </w:r>
      <w:r w:rsidR="00DA6461">
        <w:t xml:space="preserve">the substantive points </w:t>
      </w:r>
      <w:r w:rsidR="00933367">
        <w:t xml:space="preserve">it makes </w:t>
      </w:r>
      <w:r w:rsidR="00DA6461">
        <w:t xml:space="preserve">remain significant </w:t>
      </w:r>
      <w:r w:rsidR="00933367">
        <w:t>under contemporary industry contract forms and practices. Indeed, o</w:t>
      </w:r>
      <w:r w:rsidR="00BA48C6">
        <w:t xml:space="preserve">ver the years, contingent payment provisions, no damage for delay clauses, and delegation of design responsibilities have become </w:t>
      </w:r>
      <w:r w:rsidR="00220008">
        <w:t>increasingly</w:t>
      </w:r>
      <w:r w:rsidR="00BA48C6">
        <w:t xml:space="preserve"> more important </w:t>
      </w:r>
      <w:r w:rsidR="00220008">
        <w:t xml:space="preserve">from the </w:t>
      </w:r>
      <w:r w:rsidR="00726A39">
        <w:t>subcontractor’s</w:t>
      </w:r>
      <w:r w:rsidR="00220008">
        <w:t xml:space="preserve"> perspective</w:t>
      </w:r>
      <w:r w:rsidR="00726A39">
        <w:t>.</w:t>
      </w:r>
    </w:p>
    <w:p w14:paraId="6C54DF26" w14:textId="77777777" w:rsidR="008F425A" w:rsidRDefault="008F425A" w:rsidP="006319D6">
      <w:pPr>
        <w:ind w:firstLine="720"/>
      </w:pPr>
    </w:p>
    <w:p w14:paraId="37E939EA" w14:textId="690167D3" w:rsidR="0063344C" w:rsidRDefault="00B657E8" w:rsidP="006319D6">
      <w:pPr>
        <w:ind w:firstLine="720"/>
      </w:pPr>
      <w:r>
        <w:t>C</w:t>
      </w:r>
      <w:r w:rsidR="00DB6DD0">
        <w:t>onditional payment</w:t>
      </w:r>
      <w:r w:rsidR="00AF41C2">
        <w:t xml:space="preserve"> provisions</w:t>
      </w:r>
      <w:r w:rsidR="00994684">
        <w:t xml:space="preserve">, commonly characterized as either </w:t>
      </w:r>
      <w:r w:rsidR="00AF41C2">
        <w:t>pay-when-paid or pay-if-paid clauses,</w:t>
      </w:r>
      <w:r w:rsidR="00DB6DD0">
        <w:t xml:space="preserve"> </w:t>
      </w:r>
      <w:r>
        <w:t xml:space="preserve">deserve special mention because </w:t>
      </w:r>
      <w:r w:rsidR="0041601E">
        <w:t xml:space="preserve">the courts </w:t>
      </w:r>
      <w:r>
        <w:t>continue</w:t>
      </w:r>
      <w:r w:rsidR="008F425A">
        <w:t xml:space="preserve"> to</w:t>
      </w:r>
      <w:r w:rsidR="0041601E">
        <w:t xml:space="preserve"> debate and refine </w:t>
      </w:r>
      <w:r w:rsidR="00EA3698">
        <w:t xml:space="preserve">both </w:t>
      </w:r>
      <w:r w:rsidR="0041601E">
        <w:t xml:space="preserve">how to interpret these clauses and </w:t>
      </w:r>
      <w:r w:rsidR="004C6A1D">
        <w:t xml:space="preserve">the extent to which public policy considerations should limit their enforceability. </w:t>
      </w:r>
      <w:r w:rsidR="00FC25EF">
        <w:t xml:space="preserve">The </w:t>
      </w:r>
      <w:r w:rsidR="00604CF7">
        <w:t>distinction</w:t>
      </w:r>
      <w:r w:rsidR="00C00032">
        <w:t xml:space="preserve"> between the two types turns</w:t>
      </w:r>
      <w:r w:rsidR="00604CF7">
        <w:t xml:space="preserve"> on whether the provision</w:t>
      </w:r>
      <w:r w:rsidR="00FC25EF">
        <w:t xml:space="preserve"> </w:t>
      </w:r>
      <w:r w:rsidR="00245A3B">
        <w:t>means</w:t>
      </w:r>
      <w:r w:rsidR="00AC1A38">
        <w:t xml:space="preserve"> that the general contractor’s obligation to pay the subcontractor </w:t>
      </w:r>
      <w:r w:rsidR="00815CB1">
        <w:t>be</w:t>
      </w:r>
      <w:r w:rsidR="00AC1A38">
        <w:t xml:space="preserve">comes due only </w:t>
      </w:r>
      <w:r w:rsidR="00AC1A38" w:rsidRPr="00604CF7">
        <w:rPr>
          <w:i/>
          <w:iCs/>
        </w:rPr>
        <w:t>when</w:t>
      </w:r>
      <w:r w:rsidR="00AC1A38">
        <w:t xml:space="preserve"> the owner makes the corresponding payment to the general contractor</w:t>
      </w:r>
      <w:r w:rsidR="00BF7047">
        <w:t xml:space="preserve">, which </w:t>
      </w:r>
      <w:r w:rsidR="00C2615B">
        <w:t xml:space="preserve">arguably </w:t>
      </w:r>
      <w:r w:rsidR="002B0CB6">
        <w:t xml:space="preserve">gives the general contract </w:t>
      </w:r>
      <w:r w:rsidR="006F7FC0">
        <w:t>no more than</w:t>
      </w:r>
      <w:r w:rsidR="002B0CB6">
        <w:t xml:space="preserve"> a right to </w:t>
      </w:r>
      <w:r w:rsidR="005569C6">
        <w:t>delay payment for a reasonable time,</w:t>
      </w:r>
      <w:r w:rsidR="00604CF7">
        <w:t xml:space="preserve"> or only </w:t>
      </w:r>
      <w:r w:rsidR="00604CF7" w:rsidRPr="00DA2A0A">
        <w:rPr>
          <w:i/>
          <w:iCs/>
        </w:rPr>
        <w:t>if</w:t>
      </w:r>
      <w:r w:rsidR="00604CF7">
        <w:t xml:space="preserve"> the owner makes the payment</w:t>
      </w:r>
      <w:r w:rsidR="00245A3B">
        <w:t xml:space="preserve">, </w:t>
      </w:r>
      <w:r w:rsidR="00345FCB">
        <w:t>such that</w:t>
      </w:r>
      <w:r w:rsidR="00245A3B">
        <w:t xml:space="preserve"> the general contractor</w:t>
      </w:r>
      <w:r w:rsidR="00345FCB">
        <w:t xml:space="preserve"> may have a complete defense if the owner never pays</w:t>
      </w:r>
      <w:r w:rsidR="008413E4">
        <w:t xml:space="preserve"> the amount in dispute</w:t>
      </w:r>
      <w:r w:rsidR="008F425A">
        <w:t xml:space="preserve">. </w:t>
      </w:r>
      <w:r w:rsidR="009313F9">
        <w:t xml:space="preserve">See </w:t>
      </w:r>
      <w:r w:rsidR="009313F9" w:rsidRPr="00A519CB">
        <w:t xml:space="preserve">Phillip L. Bruner &amp; Patrick J. O’Connor, Jr., </w:t>
      </w:r>
      <w:r w:rsidR="009313F9">
        <w:t>3</w:t>
      </w:r>
      <w:r w:rsidR="009313F9" w:rsidRPr="00A519CB">
        <w:t xml:space="preserve"> </w:t>
      </w:r>
      <w:r w:rsidR="009313F9" w:rsidRPr="00A519CB">
        <w:rPr>
          <w:i/>
          <w:iCs/>
        </w:rPr>
        <w:t>Bruner &amp; O’Connor on Construction Law</w:t>
      </w:r>
      <w:r w:rsidR="009313F9" w:rsidRPr="00A519CB">
        <w:t xml:space="preserve">, </w:t>
      </w:r>
      <w:r w:rsidR="00F278FC">
        <w:t>§§ 8:54-8:57</w:t>
      </w:r>
      <w:r w:rsidR="00F278FC" w:rsidRPr="00A519CB">
        <w:t xml:space="preserve"> </w:t>
      </w:r>
      <w:r w:rsidR="009313F9" w:rsidRPr="00A519CB">
        <w:t>(Westlaw Aug. 2023).</w:t>
      </w:r>
    </w:p>
    <w:p w14:paraId="74CF0A49" w14:textId="77777777" w:rsidR="00E846FA" w:rsidRDefault="00E846FA" w:rsidP="00E846FA"/>
    <w:p w14:paraId="697E24CA" w14:textId="1F7BEC87" w:rsidR="00E846FA" w:rsidRPr="00E846FA" w:rsidRDefault="00E846FA" w:rsidP="00E50699">
      <w:pPr>
        <w:keepNext/>
        <w:pageBreakBefore/>
        <w:rPr>
          <w:u w:val="single"/>
        </w:rPr>
      </w:pPr>
      <w:r>
        <w:rPr>
          <w:u w:val="single"/>
        </w:rPr>
        <w:lastRenderedPageBreak/>
        <w:t>A sampling of cases</w:t>
      </w:r>
    </w:p>
    <w:p w14:paraId="08AB65C6" w14:textId="77777777" w:rsidR="008806C6" w:rsidRDefault="008806C6" w:rsidP="006319D6">
      <w:pPr>
        <w:ind w:firstLine="720"/>
      </w:pPr>
    </w:p>
    <w:p w14:paraId="2A68715B" w14:textId="659BA576" w:rsidR="00F0247B" w:rsidRDefault="008806C6" w:rsidP="00E50699">
      <w:pPr>
        <w:ind w:firstLine="720"/>
      </w:pPr>
      <w:r>
        <w:t xml:space="preserve">Lawyers representing subcontractors must be prepared to address all the issues mentioned so far, along with others. </w:t>
      </w:r>
      <w:r w:rsidR="001926F5">
        <w:t>To conclude this overview, r</w:t>
      </w:r>
      <w:r>
        <w:t>ead the following cases</w:t>
      </w:r>
      <w:r w:rsidR="001926F5">
        <w:t xml:space="preserve">. </w:t>
      </w:r>
    </w:p>
    <w:p w14:paraId="21BFA61C" w14:textId="77777777" w:rsidR="00085981" w:rsidRDefault="00085981" w:rsidP="006319D6">
      <w:pPr>
        <w:ind w:firstLine="720"/>
      </w:pPr>
    </w:p>
    <w:p w14:paraId="11BEF515" w14:textId="77777777" w:rsidR="00C769CE" w:rsidRDefault="0034769C" w:rsidP="00C769CE">
      <w:pPr>
        <w:pStyle w:val="ListParagraph"/>
        <w:numPr>
          <w:ilvl w:val="0"/>
          <w:numId w:val="4"/>
        </w:numPr>
        <w:spacing w:after="160" w:line="259" w:lineRule="auto"/>
      </w:pPr>
      <w:r w:rsidRPr="00C769CE">
        <w:rPr>
          <w:iCs/>
          <w:u w:val="single"/>
        </w:rPr>
        <w:t>Drennan v. Star Paving Co.</w:t>
      </w:r>
      <w:r w:rsidRPr="00AC757C">
        <w:t>, 333 P.2d 757 (Cal. 1958)</w:t>
      </w:r>
      <w:r w:rsidR="00E91AA9">
        <w:t>.</w:t>
      </w:r>
    </w:p>
    <w:p w14:paraId="54F51B3C" w14:textId="4AEE00C3" w:rsidR="00A07209" w:rsidRDefault="00E91AA9" w:rsidP="002E119C">
      <w:pPr>
        <w:pStyle w:val="ListParagraph"/>
        <w:spacing w:after="160" w:line="259" w:lineRule="auto"/>
      </w:pPr>
      <w:r>
        <w:t xml:space="preserve">This seminal case, </w:t>
      </w:r>
      <w:r w:rsidR="00E609FD">
        <w:t>written</w:t>
      </w:r>
      <w:r>
        <w:t xml:space="preserve"> by a </w:t>
      </w:r>
      <w:r w:rsidR="00A63C1A">
        <w:t xml:space="preserve">renowned </w:t>
      </w:r>
      <w:r w:rsidR="000C748B">
        <w:t>Justice of the California Supreme Court</w:t>
      </w:r>
      <w:r w:rsidR="00A63C1A">
        <w:t>, announced an expansive view of the promissory estoppel doctrine.</w:t>
      </w:r>
      <w:r w:rsidR="00F032C8">
        <w:t xml:space="preserve"> </w:t>
      </w:r>
      <w:r w:rsidR="0043571B">
        <w:t>In holding a subcontractor bound to honor a</w:t>
      </w:r>
      <w:r w:rsidR="00840AA5">
        <w:t xml:space="preserve"> theoretically </w:t>
      </w:r>
      <w:r w:rsidR="005C23D2">
        <w:t>revocable</w:t>
      </w:r>
      <w:r w:rsidR="0043571B">
        <w:t xml:space="preserve"> bid</w:t>
      </w:r>
      <w:r w:rsidR="00840AA5">
        <w:t xml:space="preserve"> </w:t>
      </w:r>
      <w:r w:rsidR="0040650D">
        <w:t xml:space="preserve">on the basis that the </w:t>
      </w:r>
      <w:r w:rsidR="009443D7">
        <w:t>general contractor reasonably</w:t>
      </w:r>
      <w:r w:rsidR="00546BE5">
        <w:t xml:space="preserve"> and detrimentally</w:t>
      </w:r>
      <w:r w:rsidR="009443D7">
        <w:t xml:space="preserve"> relied on the bid</w:t>
      </w:r>
      <w:r w:rsidR="00546BE5">
        <w:t xml:space="preserve">, the opinion </w:t>
      </w:r>
      <w:r w:rsidR="009C31F4">
        <w:t xml:space="preserve">established </w:t>
      </w:r>
      <w:r w:rsidR="009A67E0">
        <w:t>a</w:t>
      </w:r>
      <w:r w:rsidR="009C31F4">
        <w:t xml:space="preserve"> classic </w:t>
      </w:r>
      <w:r w:rsidR="009A67E0">
        <w:t xml:space="preserve">application of an </w:t>
      </w:r>
      <w:r w:rsidR="009C31F4">
        <w:t>ex</w:t>
      </w:r>
      <w:r w:rsidR="00DD34DD">
        <w:t>ception to contract law’s offer and acceptance doctrine</w:t>
      </w:r>
      <w:r w:rsidR="009A67E0">
        <w:t xml:space="preserve">. Most important for our purposes is </w:t>
      </w:r>
      <w:r w:rsidR="00204BBC">
        <w:t xml:space="preserve">the </w:t>
      </w:r>
      <w:r w:rsidR="00706742">
        <w:t>highly contextual judicial analysis</w:t>
      </w:r>
      <w:r w:rsidR="0049336D">
        <w:t xml:space="preserve"> by which the court</w:t>
      </w:r>
      <w:r w:rsidR="00204BBC">
        <w:t xml:space="preserve"> used specific features of competitive bidding practices in the construction industry to justify the result. </w:t>
      </w:r>
      <w:r w:rsidR="001A45B8">
        <w:t>While courts often apply the promissory estoppel theory</w:t>
      </w:r>
      <w:r w:rsidR="00317D45">
        <w:t xml:space="preserve"> in similar circumstances</w:t>
      </w:r>
      <w:r w:rsidR="001A45B8">
        <w:t xml:space="preserve"> </w:t>
      </w:r>
      <w:r w:rsidR="00693C1F">
        <w:t xml:space="preserve">to deny bidders the </w:t>
      </w:r>
      <w:r w:rsidR="000E6883">
        <w:t>right</w:t>
      </w:r>
      <w:r w:rsidR="00693C1F">
        <w:t xml:space="preserve"> to withdraw a bid that has not been formally accepted</w:t>
      </w:r>
      <w:r w:rsidR="00317D45">
        <w:t xml:space="preserve">, </w:t>
      </w:r>
      <w:r w:rsidR="00A15A4C">
        <w:t>each case must be analyzed on its specific facts, especially</w:t>
      </w:r>
      <w:r w:rsidR="00A95308">
        <w:t xml:space="preserve"> concerning the reasonable and detrimental reliance </w:t>
      </w:r>
      <w:r w:rsidR="002C615F">
        <w:t xml:space="preserve">factors. See </w:t>
      </w:r>
      <w:r w:rsidR="00A07209" w:rsidRPr="00C769CE">
        <w:rPr>
          <w:iCs/>
          <w:u w:val="single"/>
        </w:rPr>
        <w:t>C.</w:t>
      </w:r>
      <w:r w:rsidR="00A07209" w:rsidRPr="00C769CE">
        <w:rPr>
          <w:u w:val="single"/>
        </w:rPr>
        <w:t>G. Schmidt, Inc. v. Permasteelisa North America</w:t>
      </w:r>
      <w:r w:rsidR="00A07209">
        <w:t>, 825 F.3d 801 (7</w:t>
      </w:r>
      <w:r w:rsidR="00A07209" w:rsidRPr="00C769CE">
        <w:rPr>
          <w:vertAlign w:val="superscript"/>
        </w:rPr>
        <w:t>th</w:t>
      </w:r>
      <w:r w:rsidR="00A07209">
        <w:t xml:space="preserve"> Cir. 2016)</w:t>
      </w:r>
      <w:r w:rsidR="00097687">
        <w:t xml:space="preserve"> (</w:t>
      </w:r>
      <w:r w:rsidR="006254F6">
        <w:t xml:space="preserve">holding for the subcontractor </w:t>
      </w:r>
      <w:r w:rsidR="007708EB">
        <w:t>where</w:t>
      </w:r>
      <w:r w:rsidR="00097687">
        <w:t xml:space="preserve"> the evidence showed the </w:t>
      </w:r>
      <w:r w:rsidR="0083168E">
        <w:t>parties</w:t>
      </w:r>
      <w:r w:rsidR="0079742D">
        <w:t xml:space="preserve"> engaged in extended negotiations </w:t>
      </w:r>
      <w:r w:rsidR="007B695F">
        <w:t>after</w:t>
      </w:r>
      <w:r w:rsidR="0079742D">
        <w:t xml:space="preserve"> the subcontractor</w:t>
      </w:r>
      <w:r w:rsidR="007B695F">
        <w:t xml:space="preserve"> submitted its</w:t>
      </w:r>
      <w:r w:rsidR="0079742D">
        <w:t xml:space="preserve"> bid</w:t>
      </w:r>
      <w:r w:rsidR="00F25627">
        <w:t>)</w:t>
      </w:r>
      <w:r w:rsidR="00A07209">
        <w:t>.</w:t>
      </w:r>
    </w:p>
    <w:p w14:paraId="0BA9DD7D" w14:textId="77777777" w:rsidR="001E07DD" w:rsidRDefault="001E07DD" w:rsidP="002E119C">
      <w:pPr>
        <w:pStyle w:val="ListParagraph"/>
        <w:spacing w:after="160" w:line="259" w:lineRule="auto"/>
      </w:pPr>
    </w:p>
    <w:p w14:paraId="41044016" w14:textId="5B1B5618" w:rsidR="001E07DD" w:rsidRDefault="002B5997" w:rsidP="001E07DD">
      <w:pPr>
        <w:pStyle w:val="ListParagraph"/>
        <w:numPr>
          <w:ilvl w:val="0"/>
          <w:numId w:val="4"/>
        </w:numPr>
      </w:pPr>
      <w:r w:rsidRPr="001E07DD">
        <w:rPr>
          <w:iCs/>
          <w:u w:val="single"/>
        </w:rPr>
        <w:t>Associated Mech. Contractors, Inc. v. Martin K. Eby Constr. Co.</w:t>
      </w:r>
      <w:r w:rsidRPr="00AC757C">
        <w:t>, 271 F.3d 1309 (11</w:t>
      </w:r>
      <w:r w:rsidRPr="001E07DD">
        <w:rPr>
          <w:vertAlign w:val="superscript"/>
        </w:rPr>
        <w:t>th</w:t>
      </w:r>
      <w:r w:rsidRPr="00AC757C">
        <w:t xml:space="preserve"> Cir. 2001)</w:t>
      </w:r>
      <w:r w:rsidR="001E07DD">
        <w:t>.</w:t>
      </w:r>
    </w:p>
    <w:p w14:paraId="5A853532" w14:textId="2392446F" w:rsidR="002B5997" w:rsidRDefault="001918A7" w:rsidP="001E07DD">
      <w:pPr>
        <w:pStyle w:val="ListParagraph"/>
      </w:pPr>
      <w:r>
        <w:t>This case</w:t>
      </w:r>
      <w:r w:rsidR="00C538A7">
        <w:t>, which</w:t>
      </w:r>
      <w:r>
        <w:t xml:space="preserve"> covers several issues that often arise in disputes between general contractors and subcontractors</w:t>
      </w:r>
      <w:r w:rsidR="00C538A7">
        <w:t xml:space="preserve">, is especially important for its </w:t>
      </w:r>
      <w:r w:rsidR="00D120EC">
        <w:t>consideration</w:t>
      </w:r>
      <w:r w:rsidR="004757CE">
        <w:t xml:space="preserve"> of</w:t>
      </w:r>
      <w:r w:rsidR="00E97D7C">
        <w:t xml:space="preserve"> the subcontract’s</w:t>
      </w:r>
      <w:r w:rsidR="004757CE">
        <w:t xml:space="preserve"> </w:t>
      </w:r>
      <w:r w:rsidR="00E97D7C">
        <w:t xml:space="preserve">procedural requirements governing </w:t>
      </w:r>
      <w:r w:rsidR="00A5606F">
        <w:t xml:space="preserve">the subcontractor’s </w:t>
      </w:r>
      <w:r w:rsidR="00E97D7C">
        <w:t>claims</w:t>
      </w:r>
      <w:r w:rsidR="0039162F">
        <w:t xml:space="preserve"> </w:t>
      </w:r>
      <w:r w:rsidR="00A5606F">
        <w:t>for</w:t>
      </w:r>
      <w:r w:rsidR="0039162F">
        <w:t xml:space="preserve"> delay damag</w:t>
      </w:r>
      <w:r w:rsidR="00A5606F">
        <w:t>es and for release of retainage.</w:t>
      </w:r>
      <w:r w:rsidR="00524A1D">
        <w:t xml:space="preserve"> The court’s detailed analysis of the</w:t>
      </w:r>
      <w:r w:rsidR="009B7822">
        <w:t xml:space="preserve"> subcontract’s</w:t>
      </w:r>
      <w:r w:rsidR="00524A1D">
        <w:t xml:space="preserve"> terms, including </w:t>
      </w:r>
      <w:r w:rsidR="003A7325">
        <w:t xml:space="preserve">its flow-down clause, and of the </w:t>
      </w:r>
      <w:r w:rsidR="00E81162">
        <w:t xml:space="preserve">evidence </w:t>
      </w:r>
      <w:r w:rsidR="001C521F">
        <w:t xml:space="preserve">relating to </w:t>
      </w:r>
      <w:r w:rsidR="005D4391">
        <w:t xml:space="preserve">when </w:t>
      </w:r>
      <w:r w:rsidR="00740FC7">
        <w:t>the relevant</w:t>
      </w:r>
      <w:r w:rsidR="004F395C">
        <w:t xml:space="preserve"> </w:t>
      </w:r>
      <w:r w:rsidR="005D4391">
        <w:t>delaying events may have occurred</w:t>
      </w:r>
      <w:r w:rsidR="004F395C">
        <w:t>, demonstrate</w:t>
      </w:r>
      <w:r w:rsidR="001C521F">
        <w:t xml:space="preserve"> </w:t>
      </w:r>
      <w:r w:rsidR="00EB3883">
        <w:t xml:space="preserve">how important it </w:t>
      </w:r>
      <w:r w:rsidR="00E211B6">
        <w:t>can be</w:t>
      </w:r>
      <w:r w:rsidR="00EB3883">
        <w:t xml:space="preserve"> for </w:t>
      </w:r>
      <w:r w:rsidR="00E211B6">
        <w:t>the contracting parties to follow contractual claims procedures precisely.</w:t>
      </w:r>
    </w:p>
    <w:p w14:paraId="5E001AC7" w14:textId="77777777" w:rsidR="00EF0AB8" w:rsidRDefault="00EF0AB8" w:rsidP="00EF0AB8">
      <w:pPr>
        <w:keepNext/>
        <w:ind w:left="360"/>
      </w:pPr>
    </w:p>
    <w:p w14:paraId="3C59C169" w14:textId="77777777" w:rsidR="001E07DD" w:rsidRDefault="00716E29" w:rsidP="001E07DD">
      <w:pPr>
        <w:pStyle w:val="ListParagraph"/>
        <w:numPr>
          <w:ilvl w:val="0"/>
          <w:numId w:val="4"/>
        </w:numPr>
      </w:pPr>
      <w:r w:rsidRPr="001E07DD">
        <w:rPr>
          <w:iCs/>
          <w:u w:val="single"/>
        </w:rPr>
        <w:t>Rich &amp; Whillock, Inc. v. Ashton Dev. Inc.</w:t>
      </w:r>
      <w:r w:rsidRPr="00D95113">
        <w:t>, 157 Cal. App. 3d 1154 (Cal. Ct. App. 1984)</w:t>
      </w:r>
      <w:r w:rsidRPr="00F2305A">
        <w:t>.</w:t>
      </w:r>
    </w:p>
    <w:p w14:paraId="69DD79F9" w14:textId="28C74D37" w:rsidR="005B4D15" w:rsidRDefault="00CD5DDF" w:rsidP="005B4D15">
      <w:pPr>
        <w:pStyle w:val="ListParagraph"/>
      </w:pPr>
      <w:r>
        <w:t xml:space="preserve">In addition to </w:t>
      </w:r>
      <w:r w:rsidR="00286AFF">
        <w:t xml:space="preserve">highlighting </w:t>
      </w:r>
      <w:r w:rsidR="00A558D4">
        <w:t>an</w:t>
      </w:r>
      <w:r w:rsidR="00286AFF">
        <w:t xml:space="preserve"> interesting question about </w:t>
      </w:r>
      <w:r w:rsidR="000E6A17">
        <w:t xml:space="preserve">negotiating </w:t>
      </w:r>
      <w:r w:rsidR="00A558D4">
        <w:t>ethics</w:t>
      </w:r>
      <w:r w:rsidR="000E6A17">
        <w:t xml:space="preserve">, this case </w:t>
      </w:r>
      <w:r w:rsidR="00CD3CD0">
        <w:t xml:space="preserve">demonstrates </w:t>
      </w:r>
      <w:r w:rsidR="00A93E72">
        <w:t>how</w:t>
      </w:r>
      <w:r w:rsidR="00773CE5">
        <w:t>, in the most extreme circumstances,</w:t>
      </w:r>
      <w:r w:rsidR="00A93E72">
        <w:t xml:space="preserve"> the economic duress theory </w:t>
      </w:r>
      <w:r w:rsidR="00773CE5">
        <w:t>might</w:t>
      </w:r>
      <w:r w:rsidR="00A93E72">
        <w:t xml:space="preserve"> protect a</w:t>
      </w:r>
      <w:r w:rsidR="00BB5FE7">
        <w:t xml:space="preserve"> subcontractor </w:t>
      </w:r>
      <w:r w:rsidR="009E52D9">
        <w:t xml:space="preserve">when the general contractor </w:t>
      </w:r>
      <w:r w:rsidR="003F4234">
        <w:t xml:space="preserve">takes unfair advantage of its superior bargaining power. </w:t>
      </w:r>
      <w:r w:rsidR="00623094">
        <w:t xml:space="preserve">Subcontractors cannot, however, take much comfort from </w:t>
      </w:r>
      <w:r w:rsidR="004743B2">
        <w:t>the result</w:t>
      </w:r>
      <w:r w:rsidR="00623094">
        <w:t xml:space="preserve"> because </w:t>
      </w:r>
      <w:r w:rsidR="00515506">
        <w:t>strong evidence</w:t>
      </w:r>
      <w:r w:rsidR="00BA1EFE">
        <w:t xml:space="preserve"> persuaded</w:t>
      </w:r>
      <w:r w:rsidR="00515506">
        <w:t xml:space="preserve"> the court</w:t>
      </w:r>
      <w:r w:rsidR="00BA1EFE">
        <w:t xml:space="preserve"> that</w:t>
      </w:r>
      <w:r w:rsidR="00F60436">
        <w:t xml:space="preserve"> </w:t>
      </w:r>
      <w:r w:rsidR="00F3783A">
        <w:t>the</w:t>
      </w:r>
      <w:r w:rsidR="006624CD">
        <w:t xml:space="preserve"> </w:t>
      </w:r>
      <w:r w:rsidR="007412D7">
        <w:t>general contractor</w:t>
      </w:r>
      <w:r w:rsidR="00A558D4">
        <w:t>’s</w:t>
      </w:r>
      <w:r w:rsidR="00F60436">
        <w:t xml:space="preserve"> </w:t>
      </w:r>
      <w:r w:rsidR="00BA1EFE">
        <w:t xml:space="preserve">behavior </w:t>
      </w:r>
      <w:r w:rsidR="00693945">
        <w:t>went</w:t>
      </w:r>
      <w:r w:rsidR="009B55A2">
        <w:t xml:space="preserve"> so far</w:t>
      </w:r>
      <w:r w:rsidR="00693945">
        <w:t xml:space="preserve"> </w:t>
      </w:r>
      <w:r w:rsidR="00234DA1">
        <w:t>beyond hard bargaining</w:t>
      </w:r>
      <w:r w:rsidR="009B55A2">
        <w:t xml:space="preserve"> </w:t>
      </w:r>
      <w:r w:rsidR="000D381B">
        <w:t>that it</w:t>
      </w:r>
      <w:r w:rsidR="009B55A2">
        <w:t xml:space="preserve"> </w:t>
      </w:r>
      <w:r w:rsidR="00962065">
        <w:t>constituted</w:t>
      </w:r>
      <w:r w:rsidR="009B55A2">
        <w:t xml:space="preserve"> </w:t>
      </w:r>
      <w:r w:rsidR="00F60436">
        <w:t>bad faith.</w:t>
      </w:r>
    </w:p>
    <w:p w14:paraId="51CFBAEE" w14:textId="77777777" w:rsidR="005B4D15" w:rsidRDefault="005B4D15" w:rsidP="005B4D15"/>
    <w:p w14:paraId="3DD54E77" w14:textId="16865FF1" w:rsidR="005B4D15" w:rsidRPr="005B4D15" w:rsidRDefault="005B4D15" w:rsidP="005B4D15">
      <w:pPr>
        <w:rPr>
          <w:u w:val="single"/>
        </w:rPr>
      </w:pPr>
      <w:r>
        <w:rPr>
          <w:u w:val="single"/>
        </w:rPr>
        <w:t>For Review and Discussion</w:t>
      </w:r>
    </w:p>
    <w:p w14:paraId="201D63DD" w14:textId="77777777" w:rsidR="00900C26" w:rsidRDefault="00900C26" w:rsidP="00C86EBF">
      <w:pPr>
        <w:ind w:left="360"/>
      </w:pPr>
    </w:p>
    <w:p w14:paraId="11872C8D" w14:textId="1977D785" w:rsidR="00EF0AB8" w:rsidRDefault="00BA5D4B" w:rsidP="00642245">
      <w:pPr>
        <w:pStyle w:val="ListParagraph"/>
        <w:numPr>
          <w:ilvl w:val="0"/>
          <w:numId w:val="5"/>
        </w:numPr>
      </w:pPr>
      <w:r>
        <w:t xml:space="preserve">Review </w:t>
      </w:r>
      <w:r w:rsidR="00B55D4E">
        <w:t>section 3.1</w:t>
      </w:r>
      <w:r w:rsidR="00D023A4">
        <w:t xml:space="preserve"> of </w:t>
      </w:r>
      <w:r w:rsidR="00D222AF">
        <w:t>ConsensusDocs 755</w:t>
      </w:r>
      <w:r w:rsidR="00D023A4">
        <w:t xml:space="preserve">, </w:t>
      </w:r>
      <w:r w:rsidR="00D023A4">
        <w:rPr>
          <w:i/>
          <w:iCs/>
        </w:rPr>
        <w:t>Standard Master Subcontract Agreement Between Constructor and Subcontractor</w:t>
      </w:r>
      <w:r w:rsidR="001B25BA">
        <w:rPr>
          <w:i/>
          <w:iCs/>
        </w:rPr>
        <w:t xml:space="preserve"> </w:t>
      </w:r>
      <w:r w:rsidR="001B25BA">
        <w:t>(2019)</w:t>
      </w:r>
      <w:r w:rsidR="009C0BDD">
        <w:t xml:space="preserve">, reproduced below. How does section </w:t>
      </w:r>
      <w:r w:rsidR="00F62595">
        <w:t>3.1</w:t>
      </w:r>
      <w:r w:rsidR="009C0BDD">
        <w:t xml:space="preserve"> compare to section </w:t>
      </w:r>
      <w:r w:rsidR="009E1BD1">
        <w:t xml:space="preserve">5.3 </w:t>
      </w:r>
      <w:r w:rsidR="009C0BDD">
        <w:t>of AIA</w:t>
      </w:r>
      <w:r w:rsidR="00090F9C">
        <w:t xml:space="preserve"> 201?</w:t>
      </w:r>
    </w:p>
    <w:p w14:paraId="300B0D15" w14:textId="77777777" w:rsidR="00962065" w:rsidRDefault="00962065" w:rsidP="00962065"/>
    <w:p w14:paraId="11C1C6C4" w14:textId="34C46BD8" w:rsidR="00252F40" w:rsidRDefault="00FE3283" w:rsidP="0094157C">
      <w:pPr>
        <w:pStyle w:val="ListParagraph"/>
        <w:ind w:left="2160"/>
      </w:pPr>
      <w:r>
        <w:lastRenderedPageBreak/>
        <w:t xml:space="preserve">3.1 OBLIGATIONS. The Parties are mutually bound by the terms of this MSA. To the extent the terms of the prime agreement apply to the Subcontract Work, then Constructor assumes toward Subcontractor all the </w:t>
      </w:r>
      <w:r w:rsidR="00322A9A">
        <w:t>obligations</w:t>
      </w:r>
      <w:r>
        <w:t>, rights, duties, and redress that Owner under the applic</w:t>
      </w:r>
      <w:r w:rsidR="0094157C">
        <w:t>able prime agreement assumes toward Constructor. In an identical way, Subcontractor hereby assumes toward Constructor all the same obligations, rights, duties, and redress that Constructor assumes toward Owner and Design Professional under the prime agreement.</w:t>
      </w:r>
    </w:p>
    <w:p w14:paraId="40D7C835" w14:textId="77F0F018" w:rsidR="0094157C" w:rsidRDefault="0094157C" w:rsidP="00252F40">
      <w:pPr>
        <w:pStyle w:val="ListParagraph"/>
        <w:ind w:left="1440"/>
      </w:pPr>
    </w:p>
    <w:p w14:paraId="3FFEFDFB" w14:textId="17FDC6AA" w:rsidR="005155CC" w:rsidRDefault="00A83EAE" w:rsidP="00252F40">
      <w:pPr>
        <w:pStyle w:val="ListParagraph"/>
        <w:numPr>
          <w:ilvl w:val="0"/>
          <w:numId w:val="5"/>
        </w:numPr>
      </w:pPr>
      <w:r>
        <w:t>Does section 5.4 of A201 provide any</w:t>
      </w:r>
      <w:r w:rsidR="00EE659E">
        <w:t xml:space="preserve"> valuable</w:t>
      </w:r>
      <w:r>
        <w:t xml:space="preserve"> protection or assurance to the owner’s construction lender?</w:t>
      </w:r>
    </w:p>
    <w:p w14:paraId="5ECB4666" w14:textId="77777777" w:rsidR="00A83EAE" w:rsidRDefault="00A83EAE" w:rsidP="00A83EAE">
      <w:pPr>
        <w:pStyle w:val="ListParagraph"/>
        <w:ind w:left="1440"/>
      </w:pPr>
    </w:p>
    <w:p w14:paraId="1ADDC4F5" w14:textId="56DC7276" w:rsidR="005155CC" w:rsidRDefault="00917D61" w:rsidP="005155CC">
      <w:pPr>
        <w:pStyle w:val="ListParagraph"/>
        <w:numPr>
          <w:ilvl w:val="0"/>
          <w:numId w:val="5"/>
        </w:numPr>
      </w:pPr>
      <w:r>
        <w:t>Assume that</w:t>
      </w:r>
      <w:r w:rsidR="00883B0F">
        <w:t xml:space="preserve"> a lawyer represent</w:t>
      </w:r>
      <w:r w:rsidR="008315D4">
        <w:t xml:space="preserve">s the </w:t>
      </w:r>
      <w:r w:rsidR="008309C0">
        <w:t>general contractor</w:t>
      </w:r>
      <w:r w:rsidR="00883B0F">
        <w:t xml:space="preserve"> </w:t>
      </w:r>
      <w:r>
        <w:t>throughout its dealings with</w:t>
      </w:r>
      <w:r w:rsidR="008309C0">
        <w:t xml:space="preserve"> the subcontractor</w:t>
      </w:r>
      <w:r w:rsidR="00EF216E">
        <w:t xml:space="preserve"> as described in</w:t>
      </w:r>
      <w:r w:rsidR="008315D4">
        <w:t xml:space="preserve"> </w:t>
      </w:r>
      <w:r w:rsidRPr="00EF216E">
        <w:rPr>
          <w:i/>
          <w:iCs/>
        </w:rPr>
        <w:t>Rich &amp; Whillock, Inc.</w:t>
      </w:r>
      <w:r w:rsidR="008315D4" w:rsidRPr="00EF216E">
        <w:rPr>
          <w:i/>
          <w:iCs/>
        </w:rPr>
        <w:t xml:space="preserve"> v. Ashton Dev. Inc.</w:t>
      </w:r>
      <w:r>
        <w:t xml:space="preserve"> What</w:t>
      </w:r>
      <w:r w:rsidR="003F50B8">
        <w:t xml:space="preserve"> principles of professional responsibility </w:t>
      </w:r>
      <w:r w:rsidR="005F6A63">
        <w:t>do you believe that representation would implicate?</w:t>
      </w:r>
    </w:p>
    <w:sectPr w:rsidR="005155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515CF" w14:textId="77777777" w:rsidR="003C4F78" w:rsidRDefault="003C4F78" w:rsidP="006319D6">
      <w:r>
        <w:separator/>
      </w:r>
    </w:p>
  </w:endnote>
  <w:endnote w:type="continuationSeparator" w:id="0">
    <w:p w14:paraId="77E136EB" w14:textId="77777777" w:rsidR="003C4F78" w:rsidRDefault="003C4F78" w:rsidP="006319D6">
      <w:r>
        <w:continuationSeparator/>
      </w:r>
    </w:p>
  </w:endnote>
  <w:endnote w:type="continuationNotice" w:id="1">
    <w:p w14:paraId="4995645E" w14:textId="77777777" w:rsidR="00B16F9E" w:rsidRDefault="00B16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7DEE" w14:textId="31A0443F" w:rsidR="006319D6" w:rsidRDefault="006319D6">
    <w:pPr>
      <w:pStyle w:val="Footer"/>
    </w:pPr>
    <w:r>
      <w:t>© Carl J. Circo 2024</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B7015" w14:textId="77777777" w:rsidR="003C4F78" w:rsidRDefault="003C4F78" w:rsidP="006319D6">
      <w:r>
        <w:separator/>
      </w:r>
    </w:p>
  </w:footnote>
  <w:footnote w:type="continuationSeparator" w:id="0">
    <w:p w14:paraId="4D0E6DC6" w14:textId="77777777" w:rsidR="003C4F78" w:rsidRDefault="003C4F78" w:rsidP="006319D6">
      <w:r>
        <w:continuationSeparator/>
      </w:r>
    </w:p>
  </w:footnote>
  <w:footnote w:type="continuationNotice" w:id="1">
    <w:p w14:paraId="304376FF" w14:textId="77777777" w:rsidR="00B16F9E" w:rsidRDefault="00B16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8C57" w14:textId="5FBD4041" w:rsidR="006319D6" w:rsidRDefault="006319D6">
    <w:pPr>
      <w:pStyle w:val="Header"/>
    </w:pPr>
    <w:r>
      <w:t>Work-in-progress, September 2024</w:t>
    </w:r>
  </w:p>
  <w:p w14:paraId="42DF88BC" w14:textId="77777777" w:rsidR="006319D6" w:rsidRDefault="00631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0CC"/>
    <w:multiLevelType w:val="hybridMultilevel"/>
    <w:tmpl w:val="0D34F8A6"/>
    <w:lvl w:ilvl="0" w:tplc="F858F238">
      <w:start w:val="1"/>
      <w:numFmt w:val="bullet"/>
      <w:lvlText w:val=""/>
      <w:lvlJc w:val="left"/>
      <w:pPr>
        <w:tabs>
          <w:tab w:val="num" w:pos="360"/>
        </w:tabs>
        <w:ind w:left="720" w:hanging="72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285D41"/>
    <w:multiLevelType w:val="hybridMultilevel"/>
    <w:tmpl w:val="0FB6F8A8"/>
    <w:lvl w:ilvl="0" w:tplc="81F2C64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02DBD"/>
    <w:multiLevelType w:val="hybridMultilevel"/>
    <w:tmpl w:val="B752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23F16"/>
    <w:multiLevelType w:val="hybridMultilevel"/>
    <w:tmpl w:val="BB7E7ED2"/>
    <w:lvl w:ilvl="0" w:tplc="F858F238">
      <w:start w:val="1"/>
      <w:numFmt w:val="bullet"/>
      <w:lvlText w:val=""/>
      <w:lvlJc w:val="left"/>
      <w:pPr>
        <w:tabs>
          <w:tab w:val="num" w:pos="360"/>
        </w:tabs>
        <w:ind w:left="720" w:hanging="72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16C23"/>
    <w:multiLevelType w:val="hybridMultilevel"/>
    <w:tmpl w:val="E8B04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16869134">
    <w:abstractNumId w:val="1"/>
  </w:num>
  <w:num w:numId="2" w16cid:durableId="455950051">
    <w:abstractNumId w:val="0"/>
  </w:num>
  <w:num w:numId="3" w16cid:durableId="1454715180">
    <w:abstractNumId w:val="3"/>
  </w:num>
  <w:num w:numId="4" w16cid:durableId="96096566">
    <w:abstractNumId w:val="2"/>
  </w:num>
  <w:num w:numId="5" w16cid:durableId="1103838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D6"/>
    <w:rsid w:val="000445C6"/>
    <w:rsid w:val="000447FE"/>
    <w:rsid w:val="00052323"/>
    <w:rsid w:val="00054D17"/>
    <w:rsid w:val="00057229"/>
    <w:rsid w:val="00076479"/>
    <w:rsid w:val="00082BB7"/>
    <w:rsid w:val="00085981"/>
    <w:rsid w:val="00085E30"/>
    <w:rsid w:val="00090F9C"/>
    <w:rsid w:val="000965B5"/>
    <w:rsid w:val="00097687"/>
    <w:rsid w:val="000A7638"/>
    <w:rsid w:val="000C748B"/>
    <w:rsid w:val="000D381B"/>
    <w:rsid w:val="000E6883"/>
    <w:rsid w:val="000E6A17"/>
    <w:rsid w:val="000F70BF"/>
    <w:rsid w:val="00100161"/>
    <w:rsid w:val="00114077"/>
    <w:rsid w:val="00115871"/>
    <w:rsid w:val="00130414"/>
    <w:rsid w:val="00134E84"/>
    <w:rsid w:val="00141FB8"/>
    <w:rsid w:val="001475D3"/>
    <w:rsid w:val="00157397"/>
    <w:rsid w:val="0016751D"/>
    <w:rsid w:val="00167EA4"/>
    <w:rsid w:val="00180E85"/>
    <w:rsid w:val="00181CFD"/>
    <w:rsid w:val="001918A7"/>
    <w:rsid w:val="001926F5"/>
    <w:rsid w:val="001A45B8"/>
    <w:rsid w:val="001A60E2"/>
    <w:rsid w:val="001A7FFA"/>
    <w:rsid w:val="001B25BA"/>
    <w:rsid w:val="001C521F"/>
    <w:rsid w:val="001D0AC4"/>
    <w:rsid w:val="001E07DD"/>
    <w:rsid w:val="001E26C3"/>
    <w:rsid w:val="00204BBC"/>
    <w:rsid w:val="00206686"/>
    <w:rsid w:val="002121A4"/>
    <w:rsid w:val="00220008"/>
    <w:rsid w:val="00234DA1"/>
    <w:rsid w:val="00235C7A"/>
    <w:rsid w:val="00245A3B"/>
    <w:rsid w:val="00252F08"/>
    <w:rsid w:val="00252F40"/>
    <w:rsid w:val="00257A60"/>
    <w:rsid w:val="00286AC0"/>
    <w:rsid w:val="00286AFF"/>
    <w:rsid w:val="00292E32"/>
    <w:rsid w:val="002A1B97"/>
    <w:rsid w:val="002B0CB6"/>
    <w:rsid w:val="002B4EE5"/>
    <w:rsid w:val="002B5997"/>
    <w:rsid w:val="002C58A9"/>
    <w:rsid w:val="002C615F"/>
    <w:rsid w:val="002D6C85"/>
    <w:rsid w:val="002E119C"/>
    <w:rsid w:val="002E365B"/>
    <w:rsid w:val="002F48E1"/>
    <w:rsid w:val="00312428"/>
    <w:rsid w:val="00317D45"/>
    <w:rsid w:val="00322A9A"/>
    <w:rsid w:val="0034182A"/>
    <w:rsid w:val="00345FCB"/>
    <w:rsid w:val="00347200"/>
    <w:rsid w:val="0034769C"/>
    <w:rsid w:val="00353989"/>
    <w:rsid w:val="00357FF5"/>
    <w:rsid w:val="00360E4D"/>
    <w:rsid w:val="00361D44"/>
    <w:rsid w:val="00376A38"/>
    <w:rsid w:val="00386699"/>
    <w:rsid w:val="0039162F"/>
    <w:rsid w:val="003A7325"/>
    <w:rsid w:val="003C0250"/>
    <w:rsid w:val="003C4F78"/>
    <w:rsid w:val="003D54D3"/>
    <w:rsid w:val="003D553E"/>
    <w:rsid w:val="003E3387"/>
    <w:rsid w:val="003E42AA"/>
    <w:rsid w:val="003F4234"/>
    <w:rsid w:val="003F50B8"/>
    <w:rsid w:val="0040650D"/>
    <w:rsid w:val="004134C9"/>
    <w:rsid w:val="0041601E"/>
    <w:rsid w:val="0041668E"/>
    <w:rsid w:val="00422532"/>
    <w:rsid w:val="0043571B"/>
    <w:rsid w:val="00440636"/>
    <w:rsid w:val="004574EE"/>
    <w:rsid w:val="004743B2"/>
    <w:rsid w:val="004757CE"/>
    <w:rsid w:val="0048307E"/>
    <w:rsid w:val="004834EA"/>
    <w:rsid w:val="00486B3A"/>
    <w:rsid w:val="0049336D"/>
    <w:rsid w:val="004B2A51"/>
    <w:rsid w:val="004B4537"/>
    <w:rsid w:val="004C2CAE"/>
    <w:rsid w:val="004C6A1D"/>
    <w:rsid w:val="004E4BC7"/>
    <w:rsid w:val="004E68E0"/>
    <w:rsid w:val="004F395C"/>
    <w:rsid w:val="00503F4D"/>
    <w:rsid w:val="005136B8"/>
    <w:rsid w:val="00513E87"/>
    <w:rsid w:val="00515506"/>
    <w:rsid w:val="005155CC"/>
    <w:rsid w:val="00521F3A"/>
    <w:rsid w:val="00522329"/>
    <w:rsid w:val="00524336"/>
    <w:rsid w:val="00524A1D"/>
    <w:rsid w:val="005255A0"/>
    <w:rsid w:val="00546BE5"/>
    <w:rsid w:val="00555097"/>
    <w:rsid w:val="005569C6"/>
    <w:rsid w:val="0058133A"/>
    <w:rsid w:val="0059072D"/>
    <w:rsid w:val="005A3DFD"/>
    <w:rsid w:val="005B02F9"/>
    <w:rsid w:val="005B3743"/>
    <w:rsid w:val="005B4D15"/>
    <w:rsid w:val="005B5DC8"/>
    <w:rsid w:val="005C23D2"/>
    <w:rsid w:val="005D3FD4"/>
    <w:rsid w:val="005D4391"/>
    <w:rsid w:val="005D56B9"/>
    <w:rsid w:val="005E7587"/>
    <w:rsid w:val="005F4574"/>
    <w:rsid w:val="005F6A63"/>
    <w:rsid w:val="00604CF7"/>
    <w:rsid w:val="00614A66"/>
    <w:rsid w:val="00616130"/>
    <w:rsid w:val="00623094"/>
    <w:rsid w:val="006254F6"/>
    <w:rsid w:val="006310E2"/>
    <w:rsid w:val="006319D6"/>
    <w:rsid w:val="006329E6"/>
    <w:rsid w:val="0063344C"/>
    <w:rsid w:val="00642245"/>
    <w:rsid w:val="00650DD4"/>
    <w:rsid w:val="006554AB"/>
    <w:rsid w:val="006624CD"/>
    <w:rsid w:val="00682097"/>
    <w:rsid w:val="0068322F"/>
    <w:rsid w:val="00693945"/>
    <w:rsid w:val="00693C1F"/>
    <w:rsid w:val="006A0958"/>
    <w:rsid w:val="006A7D48"/>
    <w:rsid w:val="006C4323"/>
    <w:rsid w:val="006C640B"/>
    <w:rsid w:val="006C66EC"/>
    <w:rsid w:val="006D35E4"/>
    <w:rsid w:val="006E3928"/>
    <w:rsid w:val="006F7FC0"/>
    <w:rsid w:val="00706742"/>
    <w:rsid w:val="00714E76"/>
    <w:rsid w:val="00716E29"/>
    <w:rsid w:val="00726A39"/>
    <w:rsid w:val="00727B18"/>
    <w:rsid w:val="0073366A"/>
    <w:rsid w:val="00740FC7"/>
    <w:rsid w:val="007412D7"/>
    <w:rsid w:val="00741E04"/>
    <w:rsid w:val="0075469D"/>
    <w:rsid w:val="00755F00"/>
    <w:rsid w:val="0076790D"/>
    <w:rsid w:val="007708EB"/>
    <w:rsid w:val="00773CE5"/>
    <w:rsid w:val="0078495E"/>
    <w:rsid w:val="007948DE"/>
    <w:rsid w:val="0079742D"/>
    <w:rsid w:val="007B695F"/>
    <w:rsid w:val="007B6BAE"/>
    <w:rsid w:val="007C68E0"/>
    <w:rsid w:val="007F263D"/>
    <w:rsid w:val="007F5A8B"/>
    <w:rsid w:val="00802558"/>
    <w:rsid w:val="0081096C"/>
    <w:rsid w:val="00815CB1"/>
    <w:rsid w:val="00824CD5"/>
    <w:rsid w:val="008309C0"/>
    <w:rsid w:val="008315D4"/>
    <w:rsid w:val="0083168E"/>
    <w:rsid w:val="008354D4"/>
    <w:rsid w:val="008362AC"/>
    <w:rsid w:val="00840AA5"/>
    <w:rsid w:val="008413E4"/>
    <w:rsid w:val="00844AE6"/>
    <w:rsid w:val="00844B14"/>
    <w:rsid w:val="00847D32"/>
    <w:rsid w:val="00860D72"/>
    <w:rsid w:val="008629AC"/>
    <w:rsid w:val="00866D65"/>
    <w:rsid w:val="00871D81"/>
    <w:rsid w:val="008806C6"/>
    <w:rsid w:val="00883B0F"/>
    <w:rsid w:val="00886E0F"/>
    <w:rsid w:val="008A5811"/>
    <w:rsid w:val="008D76CC"/>
    <w:rsid w:val="008E2F91"/>
    <w:rsid w:val="008E40D9"/>
    <w:rsid w:val="008E71ED"/>
    <w:rsid w:val="008F229D"/>
    <w:rsid w:val="008F3AE5"/>
    <w:rsid w:val="008F425A"/>
    <w:rsid w:val="008F59FB"/>
    <w:rsid w:val="008F739F"/>
    <w:rsid w:val="00900C26"/>
    <w:rsid w:val="00917D61"/>
    <w:rsid w:val="00920392"/>
    <w:rsid w:val="009313F9"/>
    <w:rsid w:val="00933367"/>
    <w:rsid w:val="0094157C"/>
    <w:rsid w:val="009443D7"/>
    <w:rsid w:val="00962065"/>
    <w:rsid w:val="0097562D"/>
    <w:rsid w:val="009762EF"/>
    <w:rsid w:val="00994684"/>
    <w:rsid w:val="00994E45"/>
    <w:rsid w:val="009A67E0"/>
    <w:rsid w:val="009B55A2"/>
    <w:rsid w:val="009B67DC"/>
    <w:rsid w:val="009B7822"/>
    <w:rsid w:val="009B7B66"/>
    <w:rsid w:val="009C0BDD"/>
    <w:rsid w:val="009C31F4"/>
    <w:rsid w:val="009D3C48"/>
    <w:rsid w:val="009D7AB7"/>
    <w:rsid w:val="009D7D03"/>
    <w:rsid w:val="009E1BD1"/>
    <w:rsid w:val="009E40D4"/>
    <w:rsid w:val="009E5021"/>
    <w:rsid w:val="009E52D9"/>
    <w:rsid w:val="00A07209"/>
    <w:rsid w:val="00A1246C"/>
    <w:rsid w:val="00A15A4C"/>
    <w:rsid w:val="00A17C4C"/>
    <w:rsid w:val="00A30966"/>
    <w:rsid w:val="00A35470"/>
    <w:rsid w:val="00A46A4D"/>
    <w:rsid w:val="00A50717"/>
    <w:rsid w:val="00A558D4"/>
    <w:rsid w:val="00A5606F"/>
    <w:rsid w:val="00A63C1A"/>
    <w:rsid w:val="00A64E85"/>
    <w:rsid w:val="00A76F55"/>
    <w:rsid w:val="00A83EAE"/>
    <w:rsid w:val="00A90E7B"/>
    <w:rsid w:val="00A93E72"/>
    <w:rsid w:val="00A94DA1"/>
    <w:rsid w:val="00A95308"/>
    <w:rsid w:val="00A97EDF"/>
    <w:rsid w:val="00AA3020"/>
    <w:rsid w:val="00AA76B1"/>
    <w:rsid w:val="00AC1A38"/>
    <w:rsid w:val="00AC644C"/>
    <w:rsid w:val="00AD4BBE"/>
    <w:rsid w:val="00AD5A73"/>
    <w:rsid w:val="00AE0EB2"/>
    <w:rsid w:val="00AE1489"/>
    <w:rsid w:val="00AE228C"/>
    <w:rsid w:val="00AE7A26"/>
    <w:rsid w:val="00AF41C2"/>
    <w:rsid w:val="00B131E6"/>
    <w:rsid w:val="00B16F9E"/>
    <w:rsid w:val="00B34B65"/>
    <w:rsid w:val="00B555DD"/>
    <w:rsid w:val="00B55D4E"/>
    <w:rsid w:val="00B657E8"/>
    <w:rsid w:val="00B770EA"/>
    <w:rsid w:val="00B847AC"/>
    <w:rsid w:val="00B911E0"/>
    <w:rsid w:val="00B91CA7"/>
    <w:rsid w:val="00BA1EFE"/>
    <w:rsid w:val="00BA48C6"/>
    <w:rsid w:val="00BA4AAF"/>
    <w:rsid w:val="00BA5D4B"/>
    <w:rsid w:val="00BB5FE7"/>
    <w:rsid w:val="00BC7325"/>
    <w:rsid w:val="00BD672B"/>
    <w:rsid w:val="00BE1F3E"/>
    <w:rsid w:val="00BE2142"/>
    <w:rsid w:val="00BF7047"/>
    <w:rsid w:val="00BF7521"/>
    <w:rsid w:val="00C00032"/>
    <w:rsid w:val="00C15D13"/>
    <w:rsid w:val="00C2615B"/>
    <w:rsid w:val="00C34A5A"/>
    <w:rsid w:val="00C41193"/>
    <w:rsid w:val="00C41335"/>
    <w:rsid w:val="00C45964"/>
    <w:rsid w:val="00C538A7"/>
    <w:rsid w:val="00C552F9"/>
    <w:rsid w:val="00C769CE"/>
    <w:rsid w:val="00C835E9"/>
    <w:rsid w:val="00C86EBF"/>
    <w:rsid w:val="00CA2173"/>
    <w:rsid w:val="00CB2780"/>
    <w:rsid w:val="00CD3CD0"/>
    <w:rsid w:val="00CD5DDF"/>
    <w:rsid w:val="00CD6447"/>
    <w:rsid w:val="00CE7CCE"/>
    <w:rsid w:val="00CF5B69"/>
    <w:rsid w:val="00D023A4"/>
    <w:rsid w:val="00D07781"/>
    <w:rsid w:val="00D120EC"/>
    <w:rsid w:val="00D1489F"/>
    <w:rsid w:val="00D222AF"/>
    <w:rsid w:val="00D231E7"/>
    <w:rsid w:val="00D31D0C"/>
    <w:rsid w:val="00D41E51"/>
    <w:rsid w:val="00D554FE"/>
    <w:rsid w:val="00D727DF"/>
    <w:rsid w:val="00D76C2F"/>
    <w:rsid w:val="00DA1C06"/>
    <w:rsid w:val="00DA2A0A"/>
    <w:rsid w:val="00DA3332"/>
    <w:rsid w:val="00DA6461"/>
    <w:rsid w:val="00DA7573"/>
    <w:rsid w:val="00DB6DD0"/>
    <w:rsid w:val="00DD34DD"/>
    <w:rsid w:val="00DD680B"/>
    <w:rsid w:val="00DE12F4"/>
    <w:rsid w:val="00DE504A"/>
    <w:rsid w:val="00E03834"/>
    <w:rsid w:val="00E15849"/>
    <w:rsid w:val="00E211B6"/>
    <w:rsid w:val="00E23D2B"/>
    <w:rsid w:val="00E50699"/>
    <w:rsid w:val="00E572B0"/>
    <w:rsid w:val="00E609FD"/>
    <w:rsid w:val="00E8046A"/>
    <w:rsid w:val="00E80492"/>
    <w:rsid w:val="00E81162"/>
    <w:rsid w:val="00E846FA"/>
    <w:rsid w:val="00E91AA9"/>
    <w:rsid w:val="00E97D7C"/>
    <w:rsid w:val="00E97DDC"/>
    <w:rsid w:val="00EA0F88"/>
    <w:rsid w:val="00EA15A2"/>
    <w:rsid w:val="00EA3698"/>
    <w:rsid w:val="00EB3883"/>
    <w:rsid w:val="00EC138E"/>
    <w:rsid w:val="00EC250E"/>
    <w:rsid w:val="00EC556E"/>
    <w:rsid w:val="00ED1DFA"/>
    <w:rsid w:val="00ED2C82"/>
    <w:rsid w:val="00EE2D09"/>
    <w:rsid w:val="00EE659E"/>
    <w:rsid w:val="00EF0AB8"/>
    <w:rsid w:val="00EF216E"/>
    <w:rsid w:val="00F01AE0"/>
    <w:rsid w:val="00F0247B"/>
    <w:rsid w:val="00F032C8"/>
    <w:rsid w:val="00F15AD0"/>
    <w:rsid w:val="00F227F8"/>
    <w:rsid w:val="00F250FC"/>
    <w:rsid w:val="00F25627"/>
    <w:rsid w:val="00F278FC"/>
    <w:rsid w:val="00F320B6"/>
    <w:rsid w:val="00F3783A"/>
    <w:rsid w:val="00F5242E"/>
    <w:rsid w:val="00F60436"/>
    <w:rsid w:val="00F62595"/>
    <w:rsid w:val="00F718F8"/>
    <w:rsid w:val="00F7711A"/>
    <w:rsid w:val="00FB5608"/>
    <w:rsid w:val="00FC25EF"/>
    <w:rsid w:val="00FC2E6D"/>
    <w:rsid w:val="00FE3283"/>
    <w:rsid w:val="00FE6CC5"/>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07FA"/>
  <w15:chartTrackingRefBased/>
  <w15:docId w15:val="{2706C3D2-F7E6-3147-9511-12134475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D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319D6"/>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9D6"/>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9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9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19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19D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19D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19D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19D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9D6"/>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9D6"/>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9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9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19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19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19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19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19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19D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19D6"/>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6319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9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19D6"/>
    <w:pPr>
      <w:spacing w:before="160"/>
      <w:jc w:val="center"/>
    </w:pPr>
    <w:rPr>
      <w:i/>
      <w:iCs/>
      <w:color w:val="404040" w:themeColor="text1" w:themeTint="BF"/>
    </w:rPr>
  </w:style>
  <w:style w:type="character" w:customStyle="1" w:styleId="QuoteChar">
    <w:name w:val="Quote Char"/>
    <w:basedOn w:val="DefaultParagraphFont"/>
    <w:link w:val="Quote"/>
    <w:uiPriority w:val="29"/>
    <w:rsid w:val="006319D6"/>
    <w:rPr>
      <w:i/>
      <w:iCs/>
      <w:color w:val="404040" w:themeColor="text1" w:themeTint="BF"/>
    </w:rPr>
  </w:style>
  <w:style w:type="paragraph" w:styleId="ListParagraph">
    <w:name w:val="List Paragraph"/>
    <w:basedOn w:val="Normal"/>
    <w:uiPriority w:val="34"/>
    <w:qFormat/>
    <w:rsid w:val="006319D6"/>
    <w:pPr>
      <w:ind w:left="720"/>
      <w:contextualSpacing/>
    </w:pPr>
  </w:style>
  <w:style w:type="character" w:styleId="IntenseEmphasis">
    <w:name w:val="Intense Emphasis"/>
    <w:basedOn w:val="DefaultParagraphFont"/>
    <w:uiPriority w:val="21"/>
    <w:qFormat/>
    <w:rsid w:val="006319D6"/>
    <w:rPr>
      <w:i/>
      <w:iCs/>
      <w:color w:val="0F4761" w:themeColor="accent1" w:themeShade="BF"/>
    </w:rPr>
  </w:style>
  <w:style w:type="paragraph" w:styleId="IntenseQuote">
    <w:name w:val="Intense Quote"/>
    <w:basedOn w:val="Normal"/>
    <w:next w:val="Normal"/>
    <w:link w:val="IntenseQuoteChar"/>
    <w:uiPriority w:val="30"/>
    <w:qFormat/>
    <w:rsid w:val="00631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9D6"/>
    <w:rPr>
      <w:i/>
      <w:iCs/>
      <w:color w:val="0F4761" w:themeColor="accent1" w:themeShade="BF"/>
    </w:rPr>
  </w:style>
  <w:style w:type="character" w:styleId="IntenseReference">
    <w:name w:val="Intense Reference"/>
    <w:basedOn w:val="DefaultParagraphFont"/>
    <w:uiPriority w:val="32"/>
    <w:qFormat/>
    <w:rsid w:val="006319D6"/>
    <w:rPr>
      <w:b/>
      <w:bCs/>
      <w:smallCaps/>
      <w:color w:val="0F4761" w:themeColor="accent1" w:themeShade="BF"/>
      <w:spacing w:val="5"/>
    </w:rPr>
  </w:style>
  <w:style w:type="paragraph" w:styleId="Header">
    <w:name w:val="header"/>
    <w:basedOn w:val="Normal"/>
    <w:link w:val="HeaderChar"/>
    <w:uiPriority w:val="99"/>
    <w:unhideWhenUsed/>
    <w:rsid w:val="006319D6"/>
    <w:pPr>
      <w:tabs>
        <w:tab w:val="center" w:pos="4680"/>
        <w:tab w:val="right" w:pos="9360"/>
      </w:tabs>
    </w:pPr>
  </w:style>
  <w:style w:type="character" w:customStyle="1" w:styleId="HeaderChar">
    <w:name w:val="Header Char"/>
    <w:basedOn w:val="DefaultParagraphFont"/>
    <w:link w:val="Header"/>
    <w:uiPriority w:val="99"/>
    <w:rsid w:val="006319D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319D6"/>
    <w:pPr>
      <w:tabs>
        <w:tab w:val="center" w:pos="4680"/>
        <w:tab w:val="right" w:pos="9360"/>
      </w:tabs>
    </w:pPr>
  </w:style>
  <w:style w:type="character" w:customStyle="1" w:styleId="FooterChar">
    <w:name w:val="Footer Char"/>
    <w:basedOn w:val="DefaultParagraphFont"/>
    <w:link w:val="Footer"/>
    <w:uiPriority w:val="99"/>
    <w:rsid w:val="006319D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2024-09-28T16:29:00Z</dcterms:created>
  <dcterms:modified xsi:type="dcterms:W3CDTF">2024-09-28T16:29:00Z</dcterms:modified>
</cp:coreProperties>
</file>