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CDAE" w14:textId="77777777" w:rsidR="006E7C17" w:rsidRDefault="006E7C17" w:rsidP="006E7C17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583B9002" w14:textId="77777777" w:rsidR="006E7C17" w:rsidRDefault="006E7C17" w:rsidP="006E7C17">
      <w:pPr>
        <w:jc w:val="center"/>
      </w:pPr>
    </w:p>
    <w:p w14:paraId="00108A0D" w14:textId="77777777" w:rsidR="006E7C17" w:rsidRDefault="006E7C17" w:rsidP="006E7C17">
      <w:pPr>
        <w:jc w:val="center"/>
      </w:pPr>
      <w:r>
        <w:t xml:space="preserve">Carl J. </w:t>
      </w:r>
      <w:proofErr w:type="spellStart"/>
      <w:r>
        <w:t>Circo</w:t>
      </w:r>
      <w:proofErr w:type="spellEnd"/>
    </w:p>
    <w:p w14:paraId="14B2A389" w14:textId="77777777" w:rsidR="00E863BC" w:rsidRDefault="00E863BC" w:rsidP="006E7C17">
      <w:pPr>
        <w:jc w:val="center"/>
      </w:pPr>
    </w:p>
    <w:p w14:paraId="158CC8BA" w14:textId="62C8DA6F" w:rsidR="006E7C17" w:rsidRDefault="006E7C17" w:rsidP="006E7C17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>
        <w:rPr>
          <w:b/>
          <w:bCs/>
        </w:rPr>
        <w:t>5</w:t>
      </w:r>
      <w:r w:rsidRPr="636C9287">
        <w:rPr>
          <w:b/>
          <w:bCs/>
        </w:rPr>
        <w:t xml:space="preserve">: The </w:t>
      </w:r>
      <w:r>
        <w:rPr>
          <w:b/>
          <w:bCs/>
        </w:rPr>
        <w:t>Owner-Builder Relationship</w:t>
      </w:r>
      <w:r w:rsidRPr="636C9287">
        <w:rPr>
          <w:b/>
          <w:bCs/>
        </w:rPr>
        <w:t xml:space="preserve"> </w:t>
      </w:r>
    </w:p>
    <w:p w14:paraId="54FD3D4B" w14:textId="77777777" w:rsidR="006E7C17" w:rsidRPr="00BE1115" w:rsidRDefault="006E7C17" w:rsidP="006E7C17">
      <w:pPr>
        <w:keepNext/>
        <w:rPr>
          <w:b/>
          <w:bCs/>
        </w:rPr>
      </w:pPr>
    </w:p>
    <w:p w14:paraId="643ED424" w14:textId="179D45F3" w:rsidR="0063344C" w:rsidRDefault="00F627C8" w:rsidP="00D82132">
      <w:pPr>
        <w:ind w:firstLine="720"/>
      </w:pPr>
      <w:r>
        <w:t xml:space="preserve">Rather than </w:t>
      </w:r>
      <w:r w:rsidR="0018427A">
        <w:t xml:space="preserve">covering legal principles governing a </w:t>
      </w:r>
      <w:r w:rsidR="00AD1E2C">
        <w:t>single</w:t>
      </w:r>
      <w:r w:rsidR="0018427A">
        <w:t xml:space="preserve"> construction industry role, as was the case in Lesson 4</w:t>
      </w:r>
      <w:r w:rsidR="00AD1E2C">
        <w:t xml:space="preserve"> (The Design Professional), this lesson explores the legal relationship between two principal participants, the project owner and the</w:t>
      </w:r>
      <w:r w:rsidR="00855DE7">
        <w:t xml:space="preserve"> prim</w:t>
      </w:r>
      <w:r w:rsidR="00B35D30">
        <w:t>ary</w:t>
      </w:r>
      <w:r w:rsidR="00AD1E2C">
        <w:t xml:space="preserve"> builder.</w:t>
      </w:r>
      <w:r w:rsidR="00221849">
        <w:t xml:space="preserve"> </w:t>
      </w:r>
      <w:r w:rsidR="00CC097F">
        <w:t xml:space="preserve">As a convenient methodology, this lesson </w:t>
      </w:r>
      <w:r w:rsidR="001420FF">
        <w:t>looks at th</w:t>
      </w:r>
      <w:r w:rsidR="00753FFF">
        <w:t>e</w:t>
      </w:r>
      <w:r w:rsidR="001420FF">
        <w:t xml:space="preserve"> relationship through the lenses of two of the most popular standard industry forms</w:t>
      </w:r>
      <w:r w:rsidR="00C36765">
        <w:t xml:space="preserve">, </w:t>
      </w:r>
      <w:r w:rsidR="00C305B2">
        <w:t xml:space="preserve">along </w:t>
      </w:r>
      <w:r w:rsidR="00C36765">
        <w:t>with</w:t>
      </w:r>
      <w:r w:rsidR="00453BCC">
        <w:t xml:space="preserve"> reflection</w:t>
      </w:r>
      <w:r w:rsidR="00491A84">
        <w:t>s</w:t>
      </w:r>
      <w:r w:rsidR="00453BCC">
        <w:t xml:space="preserve"> on</w:t>
      </w:r>
      <w:r w:rsidR="00FE4A70">
        <w:t xml:space="preserve"> </w:t>
      </w:r>
      <w:r w:rsidR="00472C8C">
        <w:t>a</w:t>
      </w:r>
      <w:r w:rsidR="00EE427A">
        <w:t xml:space="preserve"> doctrine</w:t>
      </w:r>
      <w:r w:rsidR="00472C8C">
        <w:t xml:space="preserve"> </w:t>
      </w:r>
      <w:r w:rsidR="00121AC2">
        <w:t>that has</w:t>
      </w:r>
      <w:r w:rsidR="00F55A14">
        <w:t xml:space="preserve"> characterized</w:t>
      </w:r>
      <w:r w:rsidR="00472C8C">
        <w:t xml:space="preserve"> that relationship</w:t>
      </w:r>
      <w:r w:rsidR="00491A84">
        <w:t xml:space="preserve"> for more than a century</w:t>
      </w:r>
      <w:r w:rsidR="001420FF">
        <w:t>.</w:t>
      </w:r>
    </w:p>
    <w:p w14:paraId="5F0B6CAF" w14:textId="77777777" w:rsidR="005E202A" w:rsidRDefault="005E202A" w:rsidP="00D82132">
      <w:pPr>
        <w:ind w:firstLine="720"/>
      </w:pPr>
    </w:p>
    <w:p w14:paraId="4FD5859B" w14:textId="0BB88CB3" w:rsidR="00954FFC" w:rsidRPr="00621522" w:rsidRDefault="00954FFC" w:rsidP="00DA5FFD">
      <w:pPr>
        <w:rPr>
          <w:u w:val="single"/>
        </w:rPr>
      </w:pPr>
      <w:r w:rsidRPr="00621522">
        <w:rPr>
          <w:u w:val="single"/>
        </w:rPr>
        <w:t>Standard Industry Forms</w:t>
      </w:r>
    </w:p>
    <w:p w14:paraId="6EC6D95F" w14:textId="77777777" w:rsidR="00954FFC" w:rsidRDefault="00954FFC" w:rsidP="00D82132">
      <w:pPr>
        <w:ind w:firstLine="720"/>
      </w:pPr>
    </w:p>
    <w:p w14:paraId="6CDF0D1C" w14:textId="2684B99A" w:rsidR="005E202A" w:rsidRDefault="00537613" w:rsidP="00D82132">
      <w:pPr>
        <w:ind w:firstLine="720"/>
      </w:pPr>
      <w:r>
        <w:t>P</w:t>
      </w:r>
      <w:r w:rsidR="00F114AB">
        <w:t>rojects</w:t>
      </w:r>
      <w:r>
        <w:t xml:space="preserve"> commonly</w:t>
      </w:r>
      <w:r w:rsidR="00F114AB">
        <w:t xml:space="preserve"> rely on </w:t>
      </w:r>
      <w:r w:rsidR="00C7151E">
        <w:t>standard industry form</w:t>
      </w:r>
      <w:r w:rsidR="00A206DC">
        <w:t xml:space="preserve"> contracts </w:t>
      </w:r>
      <w:r w:rsidR="00C7151E">
        <w:t xml:space="preserve">to </w:t>
      </w:r>
      <w:r w:rsidR="004463BD">
        <w:t>govern</w:t>
      </w:r>
      <w:r w:rsidR="00C7151E">
        <w:t xml:space="preserve"> the relationships</w:t>
      </w:r>
      <w:r w:rsidR="006E0DA4">
        <w:t xml:space="preserve"> among project participant</w:t>
      </w:r>
      <w:r w:rsidR="009C3DA2">
        <w:t>s</w:t>
      </w:r>
      <w:r w:rsidR="00F61294">
        <w:t>.</w:t>
      </w:r>
      <w:r w:rsidR="005E202A">
        <w:t xml:space="preserve"> </w:t>
      </w:r>
      <w:r w:rsidR="00F61294">
        <w:t>B</w:t>
      </w:r>
      <w:r w:rsidR="007C2A9D">
        <w:t xml:space="preserve">egin by reading </w:t>
      </w:r>
      <w:r w:rsidR="00BD28A0">
        <w:t xml:space="preserve">Sections 5:1-5:10 in volume </w:t>
      </w:r>
      <w:r w:rsidR="009C3DA2">
        <w:t>2</w:t>
      </w:r>
      <w:r w:rsidR="00BD28A0">
        <w:t xml:space="preserve"> of </w:t>
      </w:r>
      <w:r w:rsidR="00BD28A0" w:rsidRPr="636C9287">
        <w:rPr>
          <w:i/>
          <w:iCs/>
        </w:rPr>
        <w:t>Bruner &amp; O’Connor on Construction Law</w:t>
      </w:r>
      <w:r w:rsidR="00BD28A0">
        <w:t xml:space="preserve"> (Westlaw Aug. 2023), by Phillip L. Bruner &amp; Patrick J. O’Connor, Jr.</w:t>
      </w:r>
      <w:r w:rsidR="00F85CE4">
        <w:t xml:space="preserve"> The first nine sections</w:t>
      </w:r>
      <w:r w:rsidR="00B9127B">
        <w:t xml:space="preserve"> </w:t>
      </w:r>
      <w:r w:rsidR="00DA61EC">
        <w:t>offer</w:t>
      </w:r>
      <w:r w:rsidR="00B9127B">
        <w:t xml:space="preserve"> a</w:t>
      </w:r>
      <w:r w:rsidR="00FD2914">
        <w:t xml:space="preserve"> general</w:t>
      </w:r>
      <w:r w:rsidR="00B9127B">
        <w:t xml:space="preserve"> overview of </w:t>
      </w:r>
      <w:r w:rsidR="00405692">
        <w:t>several</w:t>
      </w:r>
      <w:r w:rsidR="00B9127B">
        <w:t xml:space="preserve"> industry contract forms</w:t>
      </w:r>
      <w:r w:rsidR="00405692">
        <w:t xml:space="preserve"> </w:t>
      </w:r>
      <w:r w:rsidR="00DA61EC">
        <w:t>and the industry organizations that promulgate them</w:t>
      </w:r>
      <w:r w:rsidR="00AE73C6">
        <w:t>. S</w:t>
      </w:r>
      <w:r w:rsidR="004D5AF1">
        <w:t>ection 5:10 introduces you</w:t>
      </w:r>
      <w:r w:rsidR="00E53965">
        <w:t xml:space="preserve"> </w:t>
      </w:r>
      <w:r w:rsidR="004D5AF1">
        <w:t xml:space="preserve">to </w:t>
      </w:r>
      <w:r w:rsidR="00F61294">
        <w:t xml:space="preserve">the </w:t>
      </w:r>
      <w:r w:rsidR="00DE553B">
        <w:t>American Institute of Architect</w:t>
      </w:r>
      <w:r w:rsidR="00D10261">
        <w:t>s</w:t>
      </w:r>
      <w:r w:rsidR="006A4D01">
        <w:t>’</w:t>
      </w:r>
      <w:r w:rsidR="00D10261">
        <w:t xml:space="preserve"> </w:t>
      </w:r>
      <w:r w:rsidR="00DE1E2C">
        <w:t>“general conditions” document</w:t>
      </w:r>
      <w:r w:rsidR="003E495F">
        <w:t xml:space="preserve">, </w:t>
      </w:r>
      <w:r w:rsidR="00B04899">
        <w:t>AIA A201</w:t>
      </w:r>
      <w:r w:rsidR="00EE28A1">
        <w:t xml:space="preserve"> (2017),</w:t>
      </w:r>
      <w:r w:rsidR="00B04899">
        <w:t xml:space="preserve"> </w:t>
      </w:r>
      <w:r w:rsidR="00EE28A1">
        <w:t>“</w:t>
      </w:r>
      <w:r w:rsidR="000B66F4">
        <w:t>General Conditions of the Contract for Construction.</w:t>
      </w:r>
      <w:r w:rsidR="00EE28A1">
        <w:t>”</w:t>
      </w:r>
      <w:r w:rsidR="000B66F4">
        <w:t xml:space="preserve"> A201</w:t>
      </w:r>
      <w:r w:rsidR="006040E3">
        <w:t xml:space="preserve"> establishes contract terms of general applicability to construction contracts between</w:t>
      </w:r>
      <w:r w:rsidR="00D51C51">
        <w:t xml:space="preserve"> a</w:t>
      </w:r>
      <w:r w:rsidR="006040E3">
        <w:t xml:space="preserve"> project owner and </w:t>
      </w:r>
      <w:r w:rsidR="00D51C51">
        <w:t>the prim</w:t>
      </w:r>
      <w:r w:rsidR="001F3B6F">
        <w:t>ary</w:t>
      </w:r>
      <w:r w:rsidR="00D51C51">
        <w:t xml:space="preserve"> </w:t>
      </w:r>
      <w:r w:rsidR="006040E3">
        <w:t>builder</w:t>
      </w:r>
      <w:r w:rsidR="00B158C8">
        <w:t xml:space="preserve"> (</w:t>
      </w:r>
      <w:r w:rsidR="007915D0">
        <w:t xml:space="preserve">a role A201 </w:t>
      </w:r>
      <w:r w:rsidR="00C10F6E">
        <w:t>labels “contractor”)</w:t>
      </w:r>
      <w:r w:rsidR="006040E3">
        <w:t>. A201</w:t>
      </w:r>
      <w:r w:rsidR="00D10261">
        <w:t xml:space="preserve"> probably remains the </w:t>
      </w:r>
      <w:r w:rsidR="00E53965">
        <w:t>most popular of the industry forms</w:t>
      </w:r>
      <w:r w:rsidR="005016FE">
        <w:t xml:space="preserve"> used for design-bid-build projects in which the </w:t>
      </w:r>
      <w:r w:rsidR="00021C5C">
        <w:t>owner’s architect provides the full range of project design and construction administration services</w:t>
      </w:r>
      <w:r w:rsidR="00E53965">
        <w:t>.</w:t>
      </w:r>
    </w:p>
    <w:p w14:paraId="25E322D9" w14:textId="77777777" w:rsidR="001A06D4" w:rsidRDefault="001A06D4" w:rsidP="00D82132">
      <w:pPr>
        <w:ind w:firstLine="720"/>
      </w:pPr>
    </w:p>
    <w:p w14:paraId="01AF8B0F" w14:textId="1CF8E22E" w:rsidR="001A06D4" w:rsidRDefault="002B3CC2" w:rsidP="00D82132">
      <w:pPr>
        <w:ind w:firstLine="720"/>
      </w:pPr>
      <w:r>
        <w:t xml:space="preserve">For efficiency’s sake, </w:t>
      </w:r>
      <w:r w:rsidR="00F70C3C">
        <w:t>project</w:t>
      </w:r>
      <w:r w:rsidR="00484E45">
        <w:t xml:space="preserve"> participants often </w:t>
      </w:r>
      <w:r w:rsidR="00F70C3C">
        <w:t>rely on standard industry contract forms</w:t>
      </w:r>
      <w:r w:rsidR="00484E45">
        <w:t xml:space="preserve"> rather than negotiating </w:t>
      </w:r>
      <w:r w:rsidR="005B0C73">
        <w:t xml:space="preserve">bespoke contracts. </w:t>
      </w:r>
      <w:r w:rsidR="003F1D48">
        <w:t>The most popular industry forms reflect</w:t>
      </w:r>
      <w:r w:rsidR="00384ED6">
        <w:t xml:space="preserve"> lessons from</w:t>
      </w:r>
      <w:r w:rsidR="003F1D48">
        <w:t xml:space="preserve"> years of collective </w:t>
      </w:r>
      <w:r w:rsidR="00663CE0">
        <w:t>experience in</w:t>
      </w:r>
      <w:r w:rsidR="00BD770D">
        <w:t xml:space="preserve"> anticipating, allocating, and managing </w:t>
      </w:r>
      <w:r w:rsidR="007429B7">
        <w:t xml:space="preserve">the </w:t>
      </w:r>
      <w:r w:rsidR="00E67D6F">
        <w:t>complex</w:t>
      </w:r>
      <w:r w:rsidR="007429B7">
        <w:t xml:space="preserve"> risks </w:t>
      </w:r>
      <w:r w:rsidR="002E2E41">
        <w:t>in</w:t>
      </w:r>
      <w:r w:rsidR="002F56E9">
        <w:t>herent in</w:t>
      </w:r>
      <w:r w:rsidR="002E2E41">
        <w:t xml:space="preserve"> most construction projects. </w:t>
      </w:r>
      <w:r w:rsidR="001B6960">
        <w:t>Differences in project type</w:t>
      </w:r>
      <w:r w:rsidR="00AF723E">
        <w:t>s</w:t>
      </w:r>
      <w:r w:rsidR="001B6960">
        <w:t xml:space="preserve"> (</w:t>
      </w:r>
      <w:r w:rsidR="00AF723E">
        <w:t xml:space="preserve">e.g., </w:t>
      </w:r>
      <w:r w:rsidR="001B6960">
        <w:t xml:space="preserve">residential, commercial, industrial, </w:t>
      </w:r>
      <w:r w:rsidR="00AF723E">
        <w:t xml:space="preserve">infrastructure, </w:t>
      </w:r>
      <w:r w:rsidR="001B6960">
        <w:t>government</w:t>
      </w:r>
      <w:r w:rsidR="00121FEA">
        <w:t xml:space="preserve">) and delivery systems have led to the development of </w:t>
      </w:r>
      <w:r w:rsidR="00D05CA3">
        <w:t xml:space="preserve">many </w:t>
      </w:r>
      <w:r w:rsidR="000970F7">
        <w:t>alternative</w:t>
      </w:r>
      <w:r w:rsidR="00121FEA">
        <w:t xml:space="preserve"> standard forms. </w:t>
      </w:r>
      <w:r w:rsidR="005A6CCA">
        <w:t xml:space="preserve">The wide acceptance of </w:t>
      </w:r>
      <w:r w:rsidR="001335CD">
        <w:t>industry</w:t>
      </w:r>
      <w:r w:rsidR="005A6CCA">
        <w:t xml:space="preserve"> forms, however,</w:t>
      </w:r>
      <w:r w:rsidR="003715D1">
        <w:t xml:space="preserve"> </w:t>
      </w:r>
      <w:r w:rsidR="008A3B7A">
        <w:t xml:space="preserve">coexists with </w:t>
      </w:r>
      <w:r w:rsidR="002E4748">
        <w:t>an equally well</w:t>
      </w:r>
      <w:r w:rsidR="00D05CA3">
        <w:t>-</w:t>
      </w:r>
      <w:r w:rsidR="002E4748">
        <w:t xml:space="preserve">accepted penchant project participants and their lawyers </w:t>
      </w:r>
      <w:r w:rsidR="00D05CA3">
        <w:t xml:space="preserve">have for </w:t>
      </w:r>
      <w:r w:rsidR="002E4748">
        <w:t>negotiating</w:t>
      </w:r>
      <w:r w:rsidR="001335CD">
        <w:t xml:space="preserve"> modifications and supplements </w:t>
      </w:r>
      <w:r w:rsidR="002E4748">
        <w:t>to adapt those forms to the specific circumstances of each project and the perspectives and objectives of th</w:t>
      </w:r>
      <w:r w:rsidR="00E33A02">
        <w:t>at project’s</w:t>
      </w:r>
      <w:r w:rsidR="002E4748">
        <w:t xml:space="preserve"> participants</w:t>
      </w:r>
      <w:r w:rsidR="00E33A02">
        <w:t xml:space="preserve">. Moreover, </w:t>
      </w:r>
      <w:r w:rsidR="00F54CD5">
        <w:t>participants and lawyers</w:t>
      </w:r>
      <w:r w:rsidR="00B5171B">
        <w:t>, especially when</w:t>
      </w:r>
      <w:r w:rsidR="00F54CD5">
        <w:t xml:space="preserve"> negotiating the largest and</w:t>
      </w:r>
      <w:r w:rsidR="00E33A02">
        <w:t xml:space="preserve"> most compl</w:t>
      </w:r>
      <w:r w:rsidR="00F54CD5">
        <w:t>ex projects</w:t>
      </w:r>
      <w:r w:rsidR="00B5171B">
        <w:t>,</w:t>
      </w:r>
      <w:r w:rsidR="00F54CD5">
        <w:t xml:space="preserve"> often jettison industry forms entirely and draft </w:t>
      </w:r>
      <w:r w:rsidR="000D6238">
        <w:t xml:space="preserve">customized </w:t>
      </w:r>
      <w:r w:rsidR="00F54CD5">
        <w:t>contracts</w:t>
      </w:r>
      <w:r w:rsidR="009C3282">
        <w:t>, usually</w:t>
      </w:r>
      <w:r w:rsidR="00F54CD5">
        <w:t xml:space="preserve"> based on templates from previous large and complex projects</w:t>
      </w:r>
      <w:r w:rsidR="008729ED">
        <w:t xml:space="preserve"> in which they have been involved</w:t>
      </w:r>
      <w:r w:rsidR="00F54CD5">
        <w:t>.</w:t>
      </w:r>
      <w:r w:rsidR="002C6584">
        <w:t xml:space="preserve"> Furthermore, public owners frequently insist on using their own contract forms or adaptations of standard forms.</w:t>
      </w:r>
    </w:p>
    <w:p w14:paraId="53E5F102" w14:textId="77777777" w:rsidR="00F41425" w:rsidRDefault="00F41425" w:rsidP="00D82132">
      <w:pPr>
        <w:ind w:firstLine="720"/>
      </w:pPr>
    </w:p>
    <w:p w14:paraId="53525B5D" w14:textId="5060332E" w:rsidR="00F41425" w:rsidRDefault="0008661C" w:rsidP="00D82132">
      <w:pPr>
        <w:ind w:firstLine="720"/>
      </w:pPr>
      <w:r>
        <w:t>In a single construction law course, e</w:t>
      </w:r>
      <w:r w:rsidR="0059463E">
        <w:t xml:space="preserve">xamining </w:t>
      </w:r>
      <w:r w:rsidR="00052995">
        <w:t>multiple</w:t>
      </w:r>
      <w:r w:rsidR="0059463E">
        <w:t xml:space="preserve"> </w:t>
      </w:r>
      <w:r w:rsidR="00887B86">
        <w:t>industry forms in common use, or even</w:t>
      </w:r>
      <w:r w:rsidR="00E4546D">
        <w:t xml:space="preserve"> reviewing</w:t>
      </w:r>
      <w:r w:rsidR="00887B86">
        <w:t xml:space="preserve"> a complete set of alternative forms </w:t>
      </w:r>
      <w:r w:rsidR="009720E2">
        <w:t>from</w:t>
      </w:r>
      <w:r w:rsidR="00887B86">
        <w:t xml:space="preserve"> any single industry organization</w:t>
      </w:r>
      <w:r w:rsidR="00B635BA">
        <w:t>,</w:t>
      </w:r>
      <w:r w:rsidR="006A7514">
        <w:t xml:space="preserve"> </w:t>
      </w:r>
      <w:r w:rsidR="00B430E0">
        <w:t xml:space="preserve">would </w:t>
      </w:r>
      <w:r>
        <w:t>prove</w:t>
      </w:r>
      <w:r w:rsidR="00EC72D4">
        <w:t xml:space="preserve"> </w:t>
      </w:r>
      <w:r w:rsidR="00A713C3">
        <w:t>utterly i</w:t>
      </w:r>
      <w:r w:rsidR="00EC72D4">
        <w:t xml:space="preserve">mpractical. </w:t>
      </w:r>
      <w:r w:rsidR="00CC13A8">
        <w:t xml:space="preserve">A selective review of key terms from </w:t>
      </w:r>
      <w:r w:rsidR="0036535A">
        <w:t>illustrative forms provides a meaning</w:t>
      </w:r>
      <w:r w:rsidR="006A7514">
        <w:t>ful</w:t>
      </w:r>
      <w:r w:rsidR="0036535A">
        <w:t xml:space="preserve"> pri</w:t>
      </w:r>
      <w:r w:rsidR="001207EF">
        <w:t xml:space="preserve">mer for </w:t>
      </w:r>
      <w:r w:rsidR="006A7514">
        <w:t>t</w:t>
      </w:r>
      <w:r w:rsidR="005442F5">
        <w:t xml:space="preserve">hose new to the construction </w:t>
      </w:r>
      <w:r w:rsidR="001207EF">
        <w:t>law practice. This lesson uses two of the most popular AIA forms for that purpose.</w:t>
      </w:r>
    </w:p>
    <w:p w14:paraId="224E967F" w14:textId="77777777" w:rsidR="000A46CE" w:rsidRDefault="000A46CE" w:rsidP="00D82132">
      <w:pPr>
        <w:ind w:firstLine="720"/>
      </w:pPr>
    </w:p>
    <w:p w14:paraId="0F2EB08A" w14:textId="03DE27C0" w:rsidR="000A46CE" w:rsidRDefault="000A46CE" w:rsidP="00A8139B">
      <w:pPr>
        <w:keepNext/>
        <w:rPr>
          <w:u w:val="single"/>
        </w:rPr>
      </w:pPr>
      <w:r w:rsidRPr="00E245C3">
        <w:rPr>
          <w:u w:val="single"/>
        </w:rPr>
        <w:t xml:space="preserve">Design-bid-build project using fixed </w:t>
      </w:r>
      <w:r w:rsidR="00E245C3" w:rsidRPr="00E245C3">
        <w:rPr>
          <w:u w:val="single"/>
        </w:rPr>
        <w:t>pricing: the A101 approach</w:t>
      </w:r>
    </w:p>
    <w:p w14:paraId="5969E3FF" w14:textId="77777777" w:rsidR="00982102" w:rsidRPr="00E245C3" w:rsidRDefault="00982102" w:rsidP="00A8139B">
      <w:pPr>
        <w:keepNext/>
        <w:rPr>
          <w:u w:val="single"/>
        </w:rPr>
      </w:pPr>
    </w:p>
    <w:p w14:paraId="02D960D6" w14:textId="752CEF96" w:rsidR="00B53054" w:rsidRDefault="008E6CB7" w:rsidP="00D82132">
      <w:pPr>
        <w:ind w:firstLine="720"/>
      </w:pPr>
      <w:r>
        <w:t>Read</w:t>
      </w:r>
      <w:r w:rsidR="00BD3EB0">
        <w:t xml:space="preserve"> </w:t>
      </w:r>
      <w:r w:rsidR="00100B70">
        <w:t>AIA A</w:t>
      </w:r>
      <w:r w:rsidR="00526028">
        <w:t>101</w:t>
      </w:r>
      <w:r w:rsidR="00100B70">
        <w:t xml:space="preserve"> (2017), “Standard Form of Agreement between</w:t>
      </w:r>
      <w:r w:rsidR="00311FF3">
        <w:t xml:space="preserve"> </w:t>
      </w:r>
      <w:r w:rsidR="00100B70">
        <w:t>Owner and Contractor</w:t>
      </w:r>
      <w:r w:rsidR="005306B0">
        <w:t xml:space="preserve"> where the basis of payment is a </w:t>
      </w:r>
      <w:r w:rsidR="00545908">
        <w:t>S</w:t>
      </w:r>
      <w:r w:rsidR="005306B0">
        <w:t xml:space="preserve">tipulated </w:t>
      </w:r>
      <w:r w:rsidR="00545908">
        <w:t>S</w:t>
      </w:r>
      <w:r w:rsidR="005306B0">
        <w:t xml:space="preserve">um.” </w:t>
      </w:r>
      <w:r w:rsidR="00A34978">
        <w:t>As the title indicates, t</w:t>
      </w:r>
      <w:r w:rsidR="005306B0">
        <w:t xml:space="preserve">his form </w:t>
      </w:r>
      <w:r w:rsidR="00A01FF3">
        <w:t xml:space="preserve">should only be used if the parties have </w:t>
      </w:r>
      <w:r w:rsidR="00EC6E7F">
        <w:t>elected</w:t>
      </w:r>
      <w:r w:rsidR="00A01FF3">
        <w:t xml:space="preserve"> to</w:t>
      </w:r>
      <w:r w:rsidR="00EC6E7F">
        <w:t xml:space="preserve"> set</w:t>
      </w:r>
      <w:r w:rsidR="00A01FF3">
        <w:t xml:space="preserve"> a fixed price for the construction work</w:t>
      </w:r>
      <w:r w:rsidR="00A34978">
        <w:t xml:space="preserve">. </w:t>
      </w:r>
      <w:r w:rsidR="001A35C4">
        <w:t>What is just as important, although not clarified by the title, is that the form contemplates a design-bid-build delivery system</w:t>
      </w:r>
      <w:r w:rsidR="00704193">
        <w:t xml:space="preserve">. As is true of other organizations that promulgate forms, the AIA </w:t>
      </w:r>
      <w:r w:rsidR="005B59C8">
        <w:t xml:space="preserve">offers alternative documents for </w:t>
      </w:r>
      <w:r w:rsidR="003D1C5F">
        <w:t xml:space="preserve">projects using cost-based pricing or alternative delivery systems. </w:t>
      </w:r>
    </w:p>
    <w:p w14:paraId="4345B6A5" w14:textId="77777777" w:rsidR="00FC4A6C" w:rsidRDefault="00FC4A6C" w:rsidP="00D82132">
      <w:pPr>
        <w:ind w:firstLine="720"/>
      </w:pPr>
    </w:p>
    <w:p w14:paraId="3CD648CD" w14:textId="0BC1583C" w:rsidR="004F799C" w:rsidRDefault="00B80168" w:rsidP="00D82132">
      <w:pPr>
        <w:ind w:firstLine="720"/>
      </w:pPr>
      <w:r>
        <w:t xml:space="preserve">A </w:t>
      </w:r>
      <w:r w:rsidR="00D14E29">
        <w:t>notable</w:t>
      </w:r>
      <w:r w:rsidR="00AC6539">
        <w:t xml:space="preserve"> </w:t>
      </w:r>
      <w:r w:rsidR="00FB4742">
        <w:t>characteristic</w:t>
      </w:r>
      <w:r w:rsidR="00AC6539">
        <w:t xml:space="preserve"> of this relatively brief </w:t>
      </w:r>
      <w:r w:rsidR="00B53054">
        <w:t>document</w:t>
      </w:r>
      <w:r w:rsidR="00AC6539">
        <w:t xml:space="preserve"> is that</w:t>
      </w:r>
      <w:r w:rsidR="005306B0">
        <w:t xml:space="preserve"> it </w:t>
      </w:r>
      <w:r w:rsidR="00F36B69">
        <w:t xml:space="preserve">does not itself provide the complete terms </w:t>
      </w:r>
      <w:r w:rsidR="00621B2A">
        <w:t>establishing and governing</w:t>
      </w:r>
      <w:r>
        <w:t xml:space="preserve"> the owner-contractor relationship</w:t>
      </w:r>
      <w:r w:rsidR="00F36B69">
        <w:t xml:space="preserve">. Rather, it </w:t>
      </w:r>
      <w:r w:rsidR="00E018E1">
        <w:t>identifies key information about the parties and the project</w:t>
      </w:r>
      <w:r w:rsidR="002D050B">
        <w:t>, including the</w:t>
      </w:r>
      <w:r w:rsidR="00256335">
        <w:t xml:space="preserve"> </w:t>
      </w:r>
      <w:r w:rsidR="00550677">
        <w:t>plans and specifications that define the scope of work, the</w:t>
      </w:r>
      <w:r w:rsidR="002D050B">
        <w:t xml:space="preserve"> </w:t>
      </w:r>
      <w:r w:rsidR="005041BD">
        <w:t>schedule</w:t>
      </w:r>
      <w:r w:rsidR="008E45AC">
        <w:t>, the fixed price</w:t>
      </w:r>
      <w:r w:rsidR="00D50EAC">
        <w:t>,</w:t>
      </w:r>
      <w:r w:rsidR="008E45AC">
        <w:t xml:space="preserve"> and related compensation details</w:t>
      </w:r>
      <w:r w:rsidR="002B071E">
        <w:t xml:space="preserve">. It also </w:t>
      </w:r>
      <w:r w:rsidR="000D3943">
        <w:t>covers</w:t>
      </w:r>
      <w:r w:rsidR="003830B0">
        <w:t xml:space="preserve"> other</w:t>
      </w:r>
      <w:r w:rsidR="00B51F18">
        <w:t xml:space="preserve"> basic terms that may be specific to the project or the parties</w:t>
      </w:r>
      <w:r w:rsidR="00550677">
        <w:t xml:space="preserve"> or that may only be applicable to </w:t>
      </w:r>
      <w:r w:rsidR="00AA5E74">
        <w:t>a fixed-price arrang</w:t>
      </w:r>
      <w:r w:rsidR="00F24A40">
        <w:t>e</w:t>
      </w:r>
      <w:r w:rsidR="00AA5E74">
        <w:t>ment</w:t>
      </w:r>
      <w:r w:rsidR="00B51F18">
        <w:t xml:space="preserve">. </w:t>
      </w:r>
      <w:r w:rsidR="00CA4C37">
        <w:t>Many of the provisions of A</w:t>
      </w:r>
      <w:r w:rsidR="000627D3">
        <w:t>101 require the parties to fill in pertinent information or to select among listed options.</w:t>
      </w:r>
      <w:r w:rsidR="00FB4742">
        <w:t xml:space="preserve"> For some of the most important contract terms, however, </w:t>
      </w:r>
      <w:r w:rsidR="000D3943">
        <w:t>A101</w:t>
      </w:r>
      <w:r w:rsidR="00FB4742">
        <w:t xml:space="preserve"> incorporates by reference other documents, as enumerated in Article 9. In this way,</w:t>
      </w:r>
      <w:r w:rsidR="00E94435">
        <w:t xml:space="preserve"> A101 </w:t>
      </w:r>
      <w:r w:rsidR="00666EFA">
        <w:t>covers</w:t>
      </w:r>
      <w:r w:rsidR="00FB4742">
        <w:t xml:space="preserve"> </w:t>
      </w:r>
      <w:r w:rsidR="0026652F">
        <w:t>key terms that vary from one project to another</w:t>
      </w:r>
      <w:r w:rsidR="005609A7">
        <w:t xml:space="preserve"> while leaving to </w:t>
      </w:r>
      <w:r w:rsidR="00AA5E74">
        <w:t xml:space="preserve">those </w:t>
      </w:r>
      <w:r w:rsidR="005609A7">
        <w:t xml:space="preserve">forms incorporated by reference terms that, at least in theory, </w:t>
      </w:r>
      <w:r w:rsidR="006A6302">
        <w:t xml:space="preserve">may apply without regard to the </w:t>
      </w:r>
      <w:r w:rsidR="00C35A91">
        <w:t xml:space="preserve">details </w:t>
      </w:r>
      <w:r w:rsidR="00847351">
        <w:t>specified in A101.</w:t>
      </w:r>
      <w:r w:rsidR="00AA5E74">
        <w:t xml:space="preserve"> Thus, </w:t>
      </w:r>
      <w:r w:rsidR="0038212B">
        <w:t xml:space="preserve">an attorney </w:t>
      </w:r>
      <w:r w:rsidR="00045CC1">
        <w:t>for either the owner or the contractor</w:t>
      </w:r>
      <w:r w:rsidR="004F546A">
        <w:t xml:space="preserve"> merely </w:t>
      </w:r>
      <w:r w:rsidR="00E43ACF">
        <w:t>takes</w:t>
      </w:r>
      <w:r w:rsidR="004F546A">
        <w:t xml:space="preserve"> an initial step in the process of negotiating and documenting the deal</w:t>
      </w:r>
      <w:r w:rsidR="00F24A40" w:rsidRPr="00F24A40">
        <w:t xml:space="preserve"> </w:t>
      </w:r>
      <w:r w:rsidR="00F24A40">
        <w:t>by carefully</w:t>
      </w:r>
      <w:r w:rsidR="004D147A">
        <w:t xml:space="preserve"> </w:t>
      </w:r>
      <w:r w:rsidR="005B6E66">
        <w:t>addressing the</w:t>
      </w:r>
      <w:r w:rsidR="00B32CDE">
        <w:t xml:space="preserve"> A101</w:t>
      </w:r>
      <w:r w:rsidR="00E11C20">
        <w:t xml:space="preserve"> details </w:t>
      </w:r>
      <w:r w:rsidR="00876F8A">
        <w:t xml:space="preserve">to assure that </w:t>
      </w:r>
      <w:r w:rsidR="00BB512E">
        <w:t>they</w:t>
      </w:r>
      <w:r w:rsidR="00876F8A">
        <w:t xml:space="preserve"> </w:t>
      </w:r>
      <w:r w:rsidR="00F24A40">
        <w:t>reflect the client’s understandings and intentions for the project concerning th</w:t>
      </w:r>
      <w:r w:rsidR="00067B89">
        <w:t>os</w:t>
      </w:r>
      <w:r w:rsidR="00F24A40">
        <w:t xml:space="preserve">e limited points. </w:t>
      </w:r>
      <w:r w:rsidR="006B7FFC">
        <w:t>The process necessarily also involves</w:t>
      </w:r>
      <w:r w:rsidR="00394611">
        <w:t>, among other things,</w:t>
      </w:r>
      <w:r w:rsidR="006B7FFC">
        <w:t xml:space="preserve"> </w:t>
      </w:r>
      <w:r w:rsidR="00394611">
        <w:t>reviewing and advising the client about the other “Contract Documents</w:t>
      </w:r>
      <w:r w:rsidR="00DA72E4">
        <w:t>,</w:t>
      </w:r>
      <w:r w:rsidR="00394611">
        <w:t>”</w:t>
      </w:r>
      <w:r w:rsidR="00DA72E4">
        <w:t xml:space="preserve"> as refenced in Articles 1 and 9</w:t>
      </w:r>
      <w:r w:rsidR="00372B2E">
        <w:t xml:space="preserve">, including the </w:t>
      </w:r>
      <w:r w:rsidR="004F799C">
        <w:t>“General Conditions of the Contract for Construction.”</w:t>
      </w:r>
      <w:r w:rsidR="00E92DD5">
        <w:t xml:space="preserve"> Th</w:t>
      </w:r>
      <w:r w:rsidR="00CC0722">
        <w:t xml:space="preserve">e </w:t>
      </w:r>
      <w:r w:rsidR="00CF0314">
        <w:t>concluding part of this</w:t>
      </w:r>
      <w:r w:rsidR="00E92DD5">
        <w:t xml:space="preserve"> lesson </w:t>
      </w:r>
      <w:r w:rsidR="00CC0722">
        <w:t>discusses the AIA general conditions document</w:t>
      </w:r>
      <w:r w:rsidR="00CF0314">
        <w:t>.</w:t>
      </w:r>
    </w:p>
    <w:p w14:paraId="176140D8" w14:textId="77777777" w:rsidR="00526028" w:rsidRDefault="00526028" w:rsidP="00D82132">
      <w:pPr>
        <w:ind w:firstLine="720"/>
      </w:pPr>
    </w:p>
    <w:p w14:paraId="1E9386AB" w14:textId="376382A2" w:rsidR="00085507" w:rsidRDefault="0026199F" w:rsidP="00D82132">
      <w:pPr>
        <w:ind w:firstLine="720"/>
      </w:pPr>
      <w:r>
        <w:t>Two topics that A101 covers</w:t>
      </w:r>
      <w:r w:rsidR="001400EE">
        <w:t xml:space="preserve"> by reference to a document other than </w:t>
      </w:r>
      <w:r w:rsidR="009F6CA8">
        <w:t xml:space="preserve">the AIA </w:t>
      </w:r>
      <w:r w:rsidR="00DC2CB4">
        <w:t xml:space="preserve">form of </w:t>
      </w:r>
      <w:r w:rsidR="009F6CA8">
        <w:t>general conditions</w:t>
      </w:r>
      <w:r>
        <w:t xml:space="preserve"> deserve </w:t>
      </w:r>
      <w:r w:rsidR="00730356">
        <w:t xml:space="preserve">further </w:t>
      </w:r>
      <w:r w:rsidR="0076673A">
        <w:t>discussion</w:t>
      </w:r>
      <w:r w:rsidR="00613B5D">
        <w:t xml:space="preserve"> </w:t>
      </w:r>
      <w:r w:rsidR="00C7576C">
        <w:t xml:space="preserve">at this point </w:t>
      </w:r>
      <w:r w:rsidR="000014A9">
        <w:t xml:space="preserve">for two distinct reasons. </w:t>
      </w:r>
      <w:r w:rsidR="00036C94">
        <w:t xml:space="preserve">First, they </w:t>
      </w:r>
      <w:r w:rsidR="0003113E">
        <w:t>involve</w:t>
      </w:r>
      <w:r w:rsidR="007C2006">
        <w:t xml:space="preserve"> important</w:t>
      </w:r>
      <w:r w:rsidR="00FE232A">
        <w:t xml:space="preserve"> contractual devices</w:t>
      </w:r>
      <w:r w:rsidR="005E5E7B">
        <w:t>—insurance and surety bonds—</w:t>
      </w:r>
      <w:r w:rsidR="00FE232A">
        <w:t xml:space="preserve">that owners and builders </w:t>
      </w:r>
      <w:r w:rsidR="005E5E7B">
        <w:t>routinely use</w:t>
      </w:r>
      <w:r w:rsidR="00FE232A">
        <w:t xml:space="preserve"> </w:t>
      </w:r>
      <w:r w:rsidR="0067750B">
        <w:t>to manage special risks inherent in the</w:t>
      </w:r>
      <w:r w:rsidR="00090208">
        <w:t>ir relationship</w:t>
      </w:r>
      <w:r w:rsidR="0067750B">
        <w:t xml:space="preserve">. </w:t>
      </w:r>
      <w:r w:rsidR="005E5E7B">
        <w:t xml:space="preserve">Second, </w:t>
      </w:r>
      <w:r w:rsidR="006833E5">
        <w:t>in contrast to many other contractual devices that allocate or shift risks between the contracting parties,</w:t>
      </w:r>
      <w:r w:rsidR="0016203C">
        <w:t xml:space="preserve"> through</w:t>
      </w:r>
      <w:r w:rsidR="006833E5">
        <w:t xml:space="preserve"> </w:t>
      </w:r>
      <w:r w:rsidR="00085507">
        <w:t>insurance and bonding requirements</w:t>
      </w:r>
      <w:r w:rsidR="003D70C5">
        <w:t>,</w:t>
      </w:r>
      <w:r w:rsidR="006833E5">
        <w:t xml:space="preserve"> industry participants transfer risks to external sources (insurers and sureties). </w:t>
      </w:r>
    </w:p>
    <w:p w14:paraId="5D4FCE12" w14:textId="77777777" w:rsidR="0033522F" w:rsidRDefault="0033522F" w:rsidP="00D82132">
      <w:pPr>
        <w:ind w:firstLine="720"/>
      </w:pPr>
    </w:p>
    <w:p w14:paraId="432E2139" w14:textId="4D704775" w:rsidR="006F14B7" w:rsidRDefault="006D1E8D" w:rsidP="00D82132">
      <w:pPr>
        <w:ind w:firstLine="720"/>
      </w:pPr>
      <w:r>
        <w:t xml:space="preserve">Subsection 8.5.1 </w:t>
      </w:r>
      <w:r w:rsidR="000E4D45">
        <w:t>requires</w:t>
      </w:r>
      <w:r w:rsidR="00CA5E5C">
        <w:t xml:space="preserve"> both the owner and</w:t>
      </w:r>
      <w:r w:rsidR="000E4D45">
        <w:t xml:space="preserve"> the contractor to </w:t>
      </w:r>
      <w:r w:rsidR="003644B4">
        <w:t>purchase and maintain insurance</w:t>
      </w:r>
      <w:r w:rsidR="00364DAC">
        <w:t>. Subsecti</w:t>
      </w:r>
      <w:r w:rsidR="00CA5E5C">
        <w:t>o</w:t>
      </w:r>
      <w:r w:rsidR="00364DAC">
        <w:t xml:space="preserve">n 8.5.2 provides for the </w:t>
      </w:r>
      <w:r w:rsidR="00AB5A2D">
        <w:t>contractor to provide surety bonds.</w:t>
      </w:r>
      <w:r w:rsidR="00117ACD">
        <w:t xml:space="preserve"> </w:t>
      </w:r>
      <w:r w:rsidR="00AB5A2D">
        <w:t xml:space="preserve">A101, however, does not </w:t>
      </w:r>
      <w:r w:rsidR="000B4447">
        <w:t>specify</w:t>
      </w:r>
      <w:r w:rsidR="00AB5A2D">
        <w:t xml:space="preserve"> details </w:t>
      </w:r>
      <w:r w:rsidR="00952287">
        <w:t>concerning insurance or bonds. Rather, subsecti</w:t>
      </w:r>
      <w:r w:rsidR="00B1276F">
        <w:t>o</w:t>
      </w:r>
      <w:r w:rsidR="00952287">
        <w:t>n 9.1.2</w:t>
      </w:r>
      <w:r w:rsidR="00B1276F">
        <w:t xml:space="preserve"> incorporates a separate </w:t>
      </w:r>
      <w:r w:rsidR="002A3285">
        <w:t xml:space="preserve">document, </w:t>
      </w:r>
      <w:r w:rsidR="002F5BD9">
        <w:t>Exhibit A,</w:t>
      </w:r>
      <w:r w:rsidR="002A3285">
        <w:t xml:space="preserve"> designed specifically to </w:t>
      </w:r>
      <w:r w:rsidR="002F5BD9">
        <w:t>address these requirements for a project using A101.</w:t>
      </w:r>
      <w:r w:rsidR="00DC4490">
        <w:t xml:space="preserve"> </w:t>
      </w:r>
    </w:p>
    <w:p w14:paraId="3FE08E66" w14:textId="77777777" w:rsidR="0033522F" w:rsidRDefault="0033522F" w:rsidP="00D82132">
      <w:pPr>
        <w:ind w:firstLine="720"/>
      </w:pPr>
    </w:p>
    <w:p w14:paraId="2682D13B" w14:textId="158D9C65" w:rsidR="00912B6E" w:rsidRDefault="007429C0" w:rsidP="00D82132">
      <w:pPr>
        <w:ind w:firstLine="720"/>
      </w:pPr>
      <w:r>
        <w:t xml:space="preserve">Lesson 2 </w:t>
      </w:r>
      <w:r w:rsidR="001B161A">
        <w:t>generally introduced</w:t>
      </w:r>
      <w:r>
        <w:t xml:space="preserve"> the roles that insurance and surety bonds play in the construction industry</w:t>
      </w:r>
      <w:r w:rsidR="00445CF1">
        <w:t>, but it did not delve into these topics</w:t>
      </w:r>
      <w:r>
        <w:t xml:space="preserve">. </w:t>
      </w:r>
      <w:r w:rsidR="00BF46F6">
        <w:t>T</w:t>
      </w:r>
      <w:r w:rsidR="00E5753C">
        <w:t xml:space="preserve">his lesson </w:t>
      </w:r>
      <w:r w:rsidR="00BF46F6">
        <w:t xml:space="preserve">still </w:t>
      </w:r>
      <w:r w:rsidR="00E5753C">
        <w:t>is not the place for</w:t>
      </w:r>
      <w:r w:rsidR="00DC4490">
        <w:t xml:space="preserve"> </w:t>
      </w:r>
      <w:r w:rsidR="00BF46F6">
        <w:t xml:space="preserve">a </w:t>
      </w:r>
      <w:r w:rsidR="00DC4490">
        <w:t xml:space="preserve">full </w:t>
      </w:r>
      <w:r w:rsidR="007F1884">
        <w:t>exploration</w:t>
      </w:r>
      <w:r w:rsidR="00DC4490">
        <w:t xml:space="preserve"> of insurance and surety bond issues</w:t>
      </w:r>
      <w:r w:rsidR="00E5753C">
        <w:t xml:space="preserve">, </w:t>
      </w:r>
      <w:r w:rsidR="007F1884">
        <w:t xml:space="preserve">but it does present an opportunity for </w:t>
      </w:r>
      <w:r w:rsidR="00E5753C">
        <w:t xml:space="preserve">a </w:t>
      </w:r>
      <w:r w:rsidR="0076653F">
        <w:lastRenderedPageBreak/>
        <w:t>selective summary of Exhibit A</w:t>
      </w:r>
      <w:r w:rsidR="007F1884">
        <w:t>, which</w:t>
      </w:r>
      <w:r w:rsidR="00A96769">
        <w:t xml:space="preserve"> </w:t>
      </w:r>
      <w:r w:rsidR="00FB45E8">
        <w:t>will</w:t>
      </w:r>
      <w:r w:rsidR="00A96769">
        <w:t xml:space="preserve"> at least serve to alert you to </w:t>
      </w:r>
      <w:r w:rsidR="00FF2E02">
        <w:t>some of the</w:t>
      </w:r>
      <w:r w:rsidR="00A96769">
        <w:t xml:space="preserve"> complexit</w:t>
      </w:r>
      <w:r w:rsidR="00884E0D">
        <w:t>ies involved</w:t>
      </w:r>
      <w:r w:rsidR="00FF2E02">
        <w:t>, especially with reference to insurance.</w:t>
      </w:r>
      <w:r w:rsidR="00977C63">
        <w:t xml:space="preserve"> In practice, </w:t>
      </w:r>
      <w:r w:rsidR="000032F1">
        <w:t xml:space="preserve">insurance and bonding </w:t>
      </w:r>
      <w:r w:rsidR="002A426C">
        <w:t xml:space="preserve">matters often require industry participants and </w:t>
      </w:r>
      <w:r w:rsidR="0082065E">
        <w:t>construction lawyers to seek input from lawyers and consultants who specialize in these</w:t>
      </w:r>
      <w:r w:rsidR="003736EA">
        <w:t xml:space="preserve"> two</w:t>
      </w:r>
      <w:r w:rsidR="0082065E">
        <w:t xml:space="preserve"> </w:t>
      </w:r>
      <w:r w:rsidR="003736EA">
        <w:t>areas</w:t>
      </w:r>
      <w:r w:rsidR="009E1822">
        <w:t>.</w:t>
      </w:r>
    </w:p>
    <w:p w14:paraId="6A36359E" w14:textId="77777777" w:rsidR="00912B6E" w:rsidRDefault="00912B6E" w:rsidP="00D82132">
      <w:pPr>
        <w:ind w:firstLine="720"/>
      </w:pPr>
    </w:p>
    <w:p w14:paraId="2A905259" w14:textId="6D2D14EA" w:rsidR="002A0BD9" w:rsidRDefault="00657067" w:rsidP="00D82132">
      <w:pPr>
        <w:ind w:firstLine="720"/>
      </w:pPr>
      <w:r>
        <w:t xml:space="preserve">Article A.2 of </w:t>
      </w:r>
      <w:r w:rsidR="00C15047">
        <w:t xml:space="preserve">Exhibit A </w:t>
      </w:r>
      <w:r w:rsidR="00193F9D">
        <w:t xml:space="preserve">provides for </w:t>
      </w:r>
      <w:r w:rsidR="00C15047">
        <w:t xml:space="preserve">the owner to </w:t>
      </w:r>
      <w:r w:rsidR="007B4B61">
        <w:t>maintain “the owner’s usual</w:t>
      </w:r>
      <w:r w:rsidR="00C15047">
        <w:t xml:space="preserve"> </w:t>
      </w:r>
      <w:r w:rsidR="00B84199">
        <w:t>liability</w:t>
      </w:r>
      <w:r w:rsidR="004501C5">
        <w:t xml:space="preserve"> insurance</w:t>
      </w:r>
      <w:r w:rsidR="007B4B61">
        <w:t>,”</w:t>
      </w:r>
      <w:r w:rsidR="00D25275">
        <w:t xml:space="preserve"> </w:t>
      </w:r>
      <w:r w:rsidR="00B84199">
        <w:t>and</w:t>
      </w:r>
      <w:r w:rsidR="004501C5">
        <w:t xml:space="preserve"> </w:t>
      </w:r>
      <w:r w:rsidR="00A06A4A">
        <w:t>it also requires the owner to carry</w:t>
      </w:r>
      <w:r w:rsidR="00EE3DBF">
        <w:t xml:space="preserve"> </w:t>
      </w:r>
      <w:r w:rsidR="0057177C">
        <w:t xml:space="preserve">a </w:t>
      </w:r>
      <w:r w:rsidR="00EE3DBF">
        <w:t>builder’s risk policy of</w:t>
      </w:r>
      <w:r w:rsidR="00B84199">
        <w:t xml:space="preserve"> property insurance</w:t>
      </w:r>
      <w:r w:rsidR="00D50A11">
        <w:t xml:space="preserve"> meeting the requirements</w:t>
      </w:r>
      <w:r w:rsidR="00864F2C">
        <w:t xml:space="preserve"> the parties specify in </w:t>
      </w:r>
      <w:r w:rsidR="00A10A40">
        <w:t>s</w:t>
      </w:r>
      <w:r w:rsidR="00864F2C">
        <w:t>ection</w:t>
      </w:r>
      <w:r w:rsidR="002A7EEB">
        <w:t xml:space="preserve"> </w:t>
      </w:r>
      <w:r w:rsidR="004070D1">
        <w:t>A.2.3</w:t>
      </w:r>
      <w:r w:rsidR="0057177C">
        <w:t>,</w:t>
      </w:r>
      <w:r w:rsidR="00A06A4A">
        <w:t xml:space="preserve"> unless the parties agree to shift this obligation to the contractor</w:t>
      </w:r>
      <w:r w:rsidR="00FA14FB">
        <w:t xml:space="preserve">. </w:t>
      </w:r>
      <w:r w:rsidR="0022073B">
        <w:t xml:space="preserve">These </w:t>
      </w:r>
      <w:r w:rsidR="009A5C66">
        <w:t>provisions</w:t>
      </w:r>
      <w:r w:rsidR="00711E83">
        <w:t xml:space="preserve"> address</w:t>
      </w:r>
      <w:r w:rsidR="00355BB2">
        <w:t xml:space="preserve"> many details</w:t>
      </w:r>
      <w:r w:rsidR="00711E83">
        <w:t>, such as</w:t>
      </w:r>
      <w:r w:rsidR="0068392A">
        <w:t xml:space="preserve"> coverage limits and sub-limits</w:t>
      </w:r>
      <w:r w:rsidR="00355BB2">
        <w:t>,</w:t>
      </w:r>
      <w:r w:rsidR="00F95835">
        <w:t xml:space="preserve"> deductibles and self-insured retention</w:t>
      </w:r>
      <w:r w:rsidR="005854E3">
        <w:t>, and special requirements</w:t>
      </w:r>
      <w:r w:rsidR="00932331">
        <w:t xml:space="preserve"> if the project involves remodeling or an addition to an existing structure. </w:t>
      </w:r>
      <w:r w:rsidR="00CB4598">
        <w:t>Section A</w:t>
      </w:r>
      <w:r w:rsidR="00EF2801">
        <w:t>.</w:t>
      </w:r>
      <w:r w:rsidR="00CB4598">
        <w:t xml:space="preserve">2.4 allows the parties </w:t>
      </w:r>
      <w:r w:rsidR="00385BFD">
        <w:t xml:space="preserve">to </w:t>
      </w:r>
      <w:r w:rsidR="006A6BE4">
        <w:t>select options for</w:t>
      </w:r>
      <w:r w:rsidR="00CB4598">
        <w:t xml:space="preserve"> </w:t>
      </w:r>
      <w:r w:rsidR="00BF0F81">
        <w:t>additional</w:t>
      </w:r>
      <w:r w:rsidR="00CB4598">
        <w:t xml:space="preserve"> property insurance</w:t>
      </w:r>
      <w:r w:rsidR="00EF2801">
        <w:t xml:space="preserve"> the owner</w:t>
      </w:r>
      <w:r w:rsidR="00876D62">
        <w:t xml:space="preserve"> could secure</w:t>
      </w:r>
      <w:r w:rsidR="006A6BE4">
        <w:t>, including loss of use, business interruption</w:t>
      </w:r>
      <w:r w:rsidR="00A607FB">
        <w:t xml:space="preserve">, and </w:t>
      </w:r>
      <w:r w:rsidR="00326576">
        <w:t xml:space="preserve">delay in completion insurance, as well as several </w:t>
      </w:r>
      <w:r w:rsidR="00D771A0">
        <w:t>other</w:t>
      </w:r>
      <w:r w:rsidR="00BF0F81">
        <w:t xml:space="preserve"> specialized </w:t>
      </w:r>
      <w:r w:rsidR="003D5B1F">
        <w:t xml:space="preserve">coverages. </w:t>
      </w:r>
      <w:r w:rsidR="000B5ED4">
        <w:t>Section A</w:t>
      </w:r>
      <w:r w:rsidR="005F2624">
        <w:t>.</w:t>
      </w:r>
      <w:r w:rsidR="000B5ED4">
        <w:t>2.5</w:t>
      </w:r>
      <w:r w:rsidR="00EC2258">
        <w:t xml:space="preserve"> contemplates that the owner may</w:t>
      </w:r>
      <w:r w:rsidR="00653221">
        <w:t xml:space="preserve"> opt to purchase</w:t>
      </w:r>
      <w:r w:rsidR="000D24A3">
        <w:t xml:space="preserve"> cyber security insurance or any</w:t>
      </w:r>
      <w:r w:rsidR="00653221">
        <w:t xml:space="preserve"> other insurance</w:t>
      </w:r>
      <w:r w:rsidR="00E9099E">
        <w:t xml:space="preserve"> the parties elect to list at the end of that section.</w:t>
      </w:r>
    </w:p>
    <w:p w14:paraId="781C0EFF" w14:textId="77777777" w:rsidR="002A0BD9" w:rsidRDefault="002A0BD9" w:rsidP="00D82132">
      <w:pPr>
        <w:ind w:firstLine="720"/>
      </w:pPr>
    </w:p>
    <w:p w14:paraId="127DC4EB" w14:textId="2C76739E" w:rsidR="00526028" w:rsidRDefault="00047E44" w:rsidP="00D82132">
      <w:pPr>
        <w:ind w:firstLine="720"/>
      </w:pPr>
      <w:r>
        <w:t xml:space="preserve">Article </w:t>
      </w:r>
      <w:r w:rsidR="008C0B2D">
        <w:t>A.</w:t>
      </w:r>
      <w:r>
        <w:t xml:space="preserve">3 </w:t>
      </w:r>
      <w:r w:rsidR="00324DD4">
        <w:t xml:space="preserve">addresses the contractor’s insurance obligations. </w:t>
      </w:r>
      <w:r w:rsidR="00461F36">
        <w:t>Subsection A</w:t>
      </w:r>
      <w:r w:rsidR="00BD3F6A">
        <w:t>.</w:t>
      </w:r>
      <w:r w:rsidR="00F4507E">
        <w:t>3.1.1 requires the contractor to provide to the owner evidence of insurance prior</w:t>
      </w:r>
      <w:r w:rsidR="00C2291B">
        <w:t xml:space="preserve"> to starting the work and a</w:t>
      </w:r>
      <w:r w:rsidR="00E935A2">
        <w:t>t</w:t>
      </w:r>
      <w:r w:rsidR="00C2291B">
        <w:t xml:space="preserve"> other specified</w:t>
      </w:r>
      <w:r w:rsidR="00702738">
        <w:t xml:space="preserve"> later</w:t>
      </w:r>
      <w:r w:rsidR="00C2291B">
        <w:t xml:space="preserve"> times</w:t>
      </w:r>
      <w:r w:rsidR="00702738">
        <w:t xml:space="preserve">. </w:t>
      </w:r>
      <w:r w:rsidR="007159A8">
        <w:t xml:space="preserve">Subsection A.3.1.3 </w:t>
      </w:r>
      <w:r w:rsidR="00F706A3">
        <w:t>requires the contractor to designate the owner</w:t>
      </w:r>
      <w:r w:rsidR="003324C2">
        <w:t>, the architect</w:t>
      </w:r>
      <w:r w:rsidR="000426F0">
        <w:t>,</w:t>
      </w:r>
      <w:r w:rsidR="003324C2">
        <w:t xml:space="preserve"> and the architect’s consultants as additional insureds</w:t>
      </w:r>
      <w:r w:rsidR="00F24527">
        <w:t xml:space="preserve"> on the contractor’s commercial general liability policy for </w:t>
      </w:r>
      <w:r w:rsidR="00277C8B">
        <w:t xml:space="preserve">purposes of </w:t>
      </w:r>
      <w:r w:rsidR="00F24527">
        <w:t xml:space="preserve">certain </w:t>
      </w:r>
      <w:r w:rsidR="00277C8B">
        <w:t>claims</w:t>
      </w:r>
      <w:r w:rsidR="00F24527">
        <w:t>.</w:t>
      </w:r>
      <w:r w:rsidR="00C2291B">
        <w:t xml:space="preserve"> </w:t>
      </w:r>
      <w:r w:rsidR="00C473C6">
        <w:t>Section A.3.2 itemizes the require</w:t>
      </w:r>
      <w:r w:rsidR="00C81B87">
        <w:t>d</w:t>
      </w:r>
      <w:r w:rsidR="001A3843">
        <w:t xml:space="preserve"> coverage</w:t>
      </w:r>
      <w:r w:rsidR="00FE2C6B">
        <w:t xml:space="preserve"> and dollar limits</w:t>
      </w:r>
      <w:r w:rsidR="001A54A0">
        <w:t xml:space="preserve"> for</w:t>
      </w:r>
      <w:r w:rsidR="00A463CC">
        <w:t xml:space="preserve"> the following </w:t>
      </w:r>
      <w:r w:rsidR="0068006A">
        <w:t>categories</w:t>
      </w:r>
      <w:r w:rsidR="00A463CC">
        <w:t>:</w:t>
      </w:r>
      <w:r w:rsidR="001A54A0">
        <w:t xml:space="preserve"> commercial general liability</w:t>
      </w:r>
      <w:r w:rsidR="00A463CC">
        <w:t>;</w:t>
      </w:r>
      <w:r w:rsidR="00AF11AA">
        <w:t xml:space="preserve"> automobile liability, </w:t>
      </w:r>
      <w:r w:rsidR="00A463CC">
        <w:t>workers’ compensation</w:t>
      </w:r>
      <w:r w:rsidR="004F2642">
        <w:t>;</w:t>
      </w:r>
      <w:r w:rsidR="0068006A">
        <w:t xml:space="preserve"> and</w:t>
      </w:r>
      <w:r w:rsidR="004F2642">
        <w:t xml:space="preserve"> employers’ liability</w:t>
      </w:r>
      <w:r w:rsidR="0068006A">
        <w:t xml:space="preserve">. It also </w:t>
      </w:r>
      <w:r w:rsidR="00C81B87">
        <w:t>provides for</w:t>
      </w:r>
      <w:r w:rsidR="00EC0661">
        <w:t xml:space="preserve"> other specialized coverage as applicable</w:t>
      </w:r>
      <w:r w:rsidR="00A77F31">
        <w:t xml:space="preserve"> to the specific project for such circumstances as work on or near </w:t>
      </w:r>
      <w:r w:rsidR="008B5FA8">
        <w:t>navigable</w:t>
      </w:r>
      <w:r w:rsidR="00A77F31">
        <w:t xml:space="preserve"> waterways,</w:t>
      </w:r>
      <w:r w:rsidR="008B5FA8">
        <w:t xml:space="preserve"> </w:t>
      </w:r>
      <w:r w:rsidR="007247A0">
        <w:t xml:space="preserve">any professional services the contractor may provide, </w:t>
      </w:r>
      <w:r w:rsidR="00EE0364">
        <w:t xml:space="preserve">pollution risks, </w:t>
      </w:r>
      <w:r w:rsidR="00087A13">
        <w:t xml:space="preserve">and special </w:t>
      </w:r>
      <w:r w:rsidR="002456B1">
        <w:t xml:space="preserve">risks </w:t>
      </w:r>
      <w:r w:rsidR="005649CA">
        <w:t xml:space="preserve">associated with the operation of a </w:t>
      </w:r>
      <w:r w:rsidR="00CF52B4">
        <w:t xml:space="preserve">maritime </w:t>
      </w:r>
      <w:r w:rsidR="005649CA">
        <w:t>vessel</w:t>
      </w:r>
      <w:r w:rsidR="00CF52B4">
        <w:t xml:space="preserve"> or aircraf</w:t>
      </w:r>
      <w:r w:rsidR="004A0921">
        <w:t>t.</w:t>
      </w:r>
      <w:r w:rsidR="001A3843">
        <w:t xml:space="preserve"> </w:t>
      </w:r>
      <w:r w:rsidR="00C706E3">
        <w:t>If the parties mark any options</w:t>
      </w:r>
      <w:r w:rsidR="00E71421">
        <w:t xml:space="preserve"> for other insurance</w:t>
      </w:r>
      <w:r w:rsidR="00C706E3">
        <w:t xml:space="preserve"> under section A</w:t>
      </w:r>
      <w:r w:rsidR="00255DE2">
        <w:t>.</w:t>
      </w:r>
      <w:r w:rsidR="00C706E3">
        <w:t>3.3, the contractor</w:t>
      </w:r>
      <w:r w:rsidR="00535448">
        <w:t xml:space="preserve"> may also be required to</w:t>
      </w:r>
      <w:r w:rsidR="00C706E3">
        <w:t xml:space="preserve"> provide </w:t>
      </w:r>
      <w:r w:rsidR="0086027B">
        <w:t>these additional coverages: property insurance</w:t>
      </w:r>
      <w:r w:rsidR="00D209B4">
        <w:t xml:space="preserve"> under a builders’ risk policy</w:t>
      </w:r>
      <w:r w:rsidR="00DB4DE2">
        <w:t xml:space="preserve"> (insurance the owner would otherwise be required to provide)</w:t>
      </w:r>
      <w:r w:rsidR="00D209B4">
        <w:t>; railroad protective liability insurance, asbestos abatement liability insurance</w:t>
      </w:r>
      <w:r w:rsidR="004E7879">
        <w:t>; insurance for property in storage or transit</w:t>
      </w:r>
      <w:r w:rsidR="00926E55">
        <w:t xml:space="preserve">, insurance covering the contractor’s own property </w:t>
      </w:r>
      <w:r w:rsidR="002926D3">
        <w:t>used on the project; any other insurance the parties list.</w:t>
      </w:r>
      <w:r w:rsidR="00B40569">
        <w:t xml:space="preserve"> Given the </w:t>
      </w:r>
      <w:r w:rsidR="00BD262B">
        <w:t>obviously complex nature of establishing specifications</w:t>
      </w:r>
      <w:r w:rsidR="00634092">
        <w:t xml:space="preserve"> for insurance</w:t>
      </w:r>
      <w:r w:rsidR="00443C76">
        <w:t xml:space="preserve"> a contractor might carry, you should see why </w:t>
      </w:r>
      <w:r w:rsidR="00C842D1">
        <w:t>even sophisticated clients and their experienced construction lawyers often refer these matters to insurance specialists.</w:t>
      </w:r>
    </w:p>
    <w:p w14:paraId="661303FB" w14:textId="77777777" w:rsidR="002F741E" w:rsidRDefault="002F741E" w:rsidP="00D82132">
      <w:pPr>
        <w:ind w:firstLine="720"/>
      </w:pPr>
    </w:p>
    <w:p w14:paraId="65428D13" w14:textId="70B82948" w:rsidR="002F741E" w:rsidRDefault="002F741E" w:rsidP="00D82132">
      <w:pPr>
        <w:ind w:firstLine="720"/>
      </w:pPr>
      <w:r>
        <w:t>Section A.3.4 specifies the amount of any payment and performance bonds</w:t>
      </w:r>
      <w:r w:rsidR="0027512F">
        <w:t>. While th</w:t>
      </w:r>
      <w:r w:rsidR="002460BC">
        <w:t xml:space="preserve">is section reads as if these surety bonds will necessarily be secured, </w:t>
      </w:r>
      <w:r w:rsidR="00983717">
        <w:t xml:space="preserve">unless other contract documents require </w:t>
      </w:r>
      <w:r w:rsidR="002D0DB4">
        <w:t xml:space="preserve">them, the parties will simply leave blank the areas in the section designated for </w:t>
      </w:r>
      <w:r w:rsidR="00E549F1">
        <w:t xml:space="preserve">specifying </w:t>
      </w:r>
      <w:r w:rsidR="002D0DB4">
        <w:t>the amount of each bond.</w:t>
      </w:r>
      <w:r w:rsidR="00265879">
        <w:t xml:space="preserve"> </w:t>
      </w:r>
      <w:r w:rsidR="00EA41C6">
        <w:t xml:space="preserve">When a contract requires surety bonds, it may be important to </w:t>
      </w:r>
      <w:r w:rsidR="00A01818">
        <w:t>consider</w:t>
      </w:r>
      <w:r w:rsidR="00330BDF">
        <w:t xml:space="preserve"> appli</w:t>
      </w:r>
      <w:r w:rsidR="00CF3476">
        <w:t>c</w:t>
      </w:r>
      <w:r w:rsidR="00330BDF">
        <w:t xml:space="preserve">able statutory provisions, regulations, and surety industry </w:t>
      </w:r>
      <w:r w:rsidR="00A01818">
        <w:t>customs and procedures</w:t>
      </w:r>
      <w:r w:rsidR="00330BDF">
        <w:t>.</w:t>
      </w:r>
      <w:r w:rsidR="00CE34EE">
        <w:t xml:space="preserve"> Those matters, however, are beyond the scope of this lesson.</w:t>
      </w:r>
    </w:p>
    <w:p w14:paraId="2257FF53" w14:textId="77777777" w:rsidR="0003075F" w:rsidRDefault="0003075F" w:rsidP="00D82132">
      <w:pPr>
        <w:ind w:firstLine="720"/>
      </w:pPr>
    </w:p>
    <w:p w14:paraId="6261EBA7" w14:textId="517D1495" w:rsidR="0003075F" w:rsidRDefault="00D67F2B" w:rsidP="00D82132">
      <w:pPr>
        <w:ind w:firstLine="720"/>
      </w:pPr>
      <w:r>
        <w:t>Purely as a practical matter, t</w:t>
      </w:r>
      <w:r w:rsidR="005C4F57">
        <w:t>he next logical step in exploring the AIA approach to the conventional relationship between an owner and builder</w:t>
      </w:r>
      <w:r>
        <w:t xml:space="preserve"> would be to turn to the AIA general conditions</w:t>
      </w:r>
      <w:r w:rsidR="003139CA">
        <w:t>. For reasons that will soon be apparent, however, a</w:t>
      </w:r>
      <w:r w:rsidR="00E122D7">
        <w:t xml:space="preserve"> </w:t>
      </w:r>
      <w:r w:rsidR="009F6487">
        <w:t>doctrinal</w:t>
      </w:r>
      <w:r w:rsidR="003139CA">
        <w:t xml:space="preserve"> detour is in order.</w:t>
      </w:r>
    </w:p>
    <w:p w14:paraId="43C9B919" w14:textId="77777777" w:rsidR="004F799C" w:rsidRDefault="004F799C" w:rsidP="004F799C"/>
    <w:p w14:paraId="723A09BE" w14:textId="7E2FB1BA" w:rsidR="00615249" w:rsidRPr="008C5ECB" w:rsidRDefault="00615249" w:rsidP="004F799C">
      <w:pPr>
        <w:rPr>
          <w:u w:val="single"/>
        </w:rPr>
      </w:pPr>
      <w:proofErr w:type="spellStart"/>
      <w:r w:rsidRPr="008C5ECB">
        <w:rPr>
          <w:u w:val="single"/>
        </w:rPr>
        <w:lastRenderedPageBreak/>
        <w:t>Spearin</w:t>
      </w:r>
      <w:proofErr w:type="spellEnd"/>
      <w:r w:rsidRPr="008C5ECB">
        <w:rPr>
          <w:u w:val="single"/>
        </w:rPr>
        <w:t xml:space="preserve"> Doctrine revisited</w:t>
      </w:r>
    </w:p>
    <w:p w14:paraId="68D04D18" w14:textId="77777777" w:rsidR="00615249" w:rsidRDefault="00615249" w:rsidP="004F799C"/>
    <w:p w14:paraId="74EF6DBB" w14:textId="08905C7B" w:rsidR="00FE4D73" w:rsidRDefault="00FE4D73" w:rsidP="004F799C">
      <w:r>
        <w:tab/>
        <w:t xml:space="preserve">Why interrupt this discussion of the AIA approach to the owner-builder relationship in a design-bid-build project with a flashback to the </w:t>
      </w:r>
      <w:proofErr w:type="spellStart"/>
      <w:r>
        <w:t>Spearin</w:t>
      </w:r>
      <w:proofErr w:type="spellEnd"/>
      <w:r>
        <w:t xml:space="preserve"> Doctrine </w:t>
      </w:r>
      <w:r w:rsidR="00D960B2">
        <w:t xml:space="preserve">already </w:t>
      </w:r>
      <w:r>
        <w:t>mentioned in</w:t>
      </w:r>
      <w:r w:rsidR="00E122D7">
        <w:t xml:space="preserve"> earlier lessons</w:t>
      </w:r>
      <w:r>
        <w:t>?</w:t>
      </w:r>
      <w:r w:rsidR="00E122D7">
        <w:t xml:space="preserve"> </w:t>
      </w:r>
      <w:r w:rsidR="00960F59">
        <w:t>First,</w:t>
      </w:r>
      <w:r w:rsidR="00E255B8">
        <w:t xml:space="preserve"> A101 </w:t>
      </w:r>
      <w:r w:rsidR="00A81395">
        <w:t xml:space="preserve">manifests the </w:t>
      </w:r>
      <w:r w:rsidR="00F976F3">
        <w:t xml:space="preserve">contractual elements that </w:t>
      </w:r>
      <w:r w:rsidR="00537ED1">
        <w:t>gave birth</w:t>
      </w:r>
      <w:r w:rsidR="00B7042A">
        <w:t xml:space="preserve"> to the doctrine—the owner furnishes detailed plans and specifications for work the builder agrees to complete for a fixed price. </w:t>
      </w:r>
      <w:r w:rsidR="00766DAB">
        <w:t>Second</w:t>
      </w:r>
      <w:r w:rsidR="00B7042A">
        <w:t>,</w:t>
      </w:r>
      <w:r w:rsidR="00960F59">
        <w:t xml:space="preserve"> </w:t>
      </w:r>
      <w:r w:rsidR="00471969">
        <w:t xml:space="preserve">the </w:t>
      </w:r>
      <w:r w:rsidR="000105B3">
        <w:t>treatment</w:t>
      </w:r>
      <w:r w:rsidR="00471969">
        <w:t xml:space="preserve"> the </w:t>
      </w:r>
      <w:proofErr w:type="spellStart"/>
      <w:r w:rsidR="00471969">
        <w:t>Spearin</w:t>
      </w:r>
      <w:proofErr w:type="spellEnd"/>
      <w:r w:rsidR="00471969">
        <w:t xml:space="preserve"> Doctrine has received so far falls short of what </w:t>
      </w:r>
      <w:r w:rsidR="00960F59">
        <w:t xml:space="preserve">every construction law student </w:t>
      </w:r>
      <w:r w:rsidR="008E333B">
        <w:t>needs to know</w:t>
      </w:r>
      <w:r w:rsidR="00743F65">
        <w:t>.</w:t>
      </w:r>
      <w:r w:rsidR="00062ADC">
        <w:t xml:space="preserve"> </w:t>
      </w:r>
      <w:r w:rsidR="00020C26">
        <w:t xml:space="preserve">Thus, </w:t>
      </w:r>
      <w:r w:rsidR="00EC0494">
        <w:t>this lesson</w:t>
      </w:r>
      <w:r w:rsidR="00555D59">
        <w:t xml:space="preserve"> presents</w:t>
      </w:r>
      <w:r w:rsidR="00CD09EA">
        <w:t xml:space="preserve"> a convenient time</w:t>
      </w:r>
      <w:r w:rsidR="00020C26">
        <w:t xml:space="preserve"> </w:t>
      </w:r>
      <w:r w:rsidR="00B02225">
        <w:t>to delve more deeply into this golden nugget of construction law</w:t>
      </w:r>
      <w:r w:rsidR="008D5DC4">
        <w:t xml:space="preserve"> that</w:t>
      </w:r>
      <w:r w:rsidR="00CB4DA7">
        <w:t xml:space="preserve"> characterizes</w:t>
      </w:r>
      <w:r w:rsidR="0018732D">
        <w:t xml:space="preserve"> the owner-builder relationship in a</w:t>
      </w:r>
      <w:r w:rsidR="008D5DC4">
        <w:t xml:space="preserve"> </w:t>
      </w:r>
      <w:r w:rsidR="005831C1">
        <w:t xml:space="preserve">design-bid-build </w:t>
      </w:r>
      <w:r w:rsidR="0018732D">
        <w:t>project</w:t>
      </w:r>
      <w:r w:rsidR="00B02225">
        <w:t>.</w:t>
      </w:r>
    </w:p>
    <w:p w14:paraId="6078A09C" w14:textId="7E393D3E" w:rsidR="00F07B2C" w:rsidRDefault="004F799C" w:rsidP="004F799C">
      <w:r>
        <w:tab/>
      </w:r>
    </w:p>
    <w:p w14:paraId="2F7684FF" w14:textId="0B3B2E0F" w:rsidR="005B351C" w:rsidRPr="00F44235" w:rsidRDefault="004C41D4" w:rsidP="00B02225">
      <w:pPr>
        <w:ind w:firstLine="720"/>
      </w:pPr>
      <w:r>
        <w:t>Deepen</w:t>
      </w:r>
      <w:r w:rsidR="00A36BE2">
        <w:t xml:space="preserve"> your understanding of the </w:t>
      </w:r>
      <w:proofErr w:type="spellStart"/>
      <w:r w:rsidR="00A36BE2">
        <w:t>Spearin</w:t>
      </w:r>
      <w:proofErr w:type="spellEnd"/>
      <w:r w:rsidR="00A36BE2">
        <w:t xml:space="preserve"> Doctrine by</w:t>
      </w:r>
      <w:r w:rsidR="004F799C">
        <w:t xml:space="preserve"> </w:t>
      </w:r>
      <w:r w:rsidR="00A36BE2">
        <w:t>reading</w:t>
      </w:r>
      <w:r w:rsidR="00060506">
        <w:t xml:space="preserve"> </w:t>
      </w:r>
      <w:r w:rsidR="00060506">
        <w:rPr>
          <w:i/>
          <w:iCs/>
        </w:rPr>
        <w:t xml:space="preserve">United States v. </w:t>
      </w:r>
      <w:proofErr w:type="spellStart"/>
      <w:r w:rsidR="00060506">
        <w:rPr>
          <w:i/>
          <w:iCs/>
        </w:rPr>
        <w:t>Spearin</w:t>
      </w:r>
      <w:proofErr w:type="spellEnd"/>
      <w:r w:rsidR="00060506">
        <w:t>, 248 U.S. 132 (1918).</w:t>
      </w:r>
      <w:r w:rsidR="00A36BE2">
        <w:t xml:space="preserve"> </w:t>
      </w:r>
      <w:r w:rsidR="00B36564">
        <w:t>The</w:t>
      </w:r>
      <w:r w:rsidR="007E3D53">
        <w:t xml:space="preserve"> Court’s</w:t>
      </w:r>
      <w:r w:rsidR="00B36564">
        <w:t xml:space="preserve"> </w:t>
      </w:r>
      <w:r w:rsidR="000C7297">
        <w:t>original</w:t>
      </w:r>
      <w:r w:rsidR="00B36564">
        <w:t xml:space="preserve"> statement </w:t>
      </w:r>
      <w:r w:rsidR="00984F8B">
        <w:t>of the doctrine</w:t>
      </w:r>
      <w:r w:rsidR="009F7F9D">
        <w:t xml:space="preserve">, commonly </w:t>
      </w:r>
      <w:r w:rsidR="00F533A2">
        <w:t>characterized</w:t>
      </w:r>
      <w:r w:rsidR="009F7F9D">
        <w:t xml:space="preserve"> as the owner’s implied warranty of design,</w:t>
      </w:r>
      <w:r w:rsidR="00984F8B">
        <w:t xml:space="preserve"> is that “if the contractor is bound to build according to plans and specifications prepared by the owner</w:t>
      </w:r>
      <w:r w:rsidR="00227346">
        <w:t xml:space="preserve">, the contractor will not be responsible for the consequences of defects in the plans and specifications.” </w:t>
      </w:r>
      <w:r w:rsidR="00EF540D">
        <w:rPr>
          <w:i/>
          <w:iCs/>
        </w:rPr>
        <w:t>Id</w:t>
      </w:r>
      <w:r w:rsidR="00EF540D">
        <w:t xml:space="preserve">. at 136. </w:t>
      </w:r>
      <w:r w:rsidR="00091FB1" w:rsidRPr="00EF540D">
        <w:t>Even</w:t>
      </w:r>
      <w:r w:rsidR="00091FB1">
        <w:t xml:space="preserve"> after over 100 years, </w:t>
      </w:r>
      <w:proofErr w:type="spellStart"/>
      <w:r w:rsidR="00091FB1">
        <w:rPr>
          <w:i/>
          <w:iCs/>
        </w:rPr>
        <w:t>Spearin</w:t>
      </w:r>
      <w:proofErr w:type="spellEnd"/>
      <w:r w:rsidR="00091FB1">
        <w:rPr>
          <w:i/>
          <w:iCs/>
        </w:rPr>
        <w:t xml:space="preserve"> </w:t>
      </w:r>
      <w:r w:rsidR="00091FB1">
        <w:t>remains one of the most cited and discussed</w:t>
      </w:r>
      <w:r w:rsidR="00B9086D">
        <w:t xml:space="preserve"> construction law cases</w:t>
      </w:r>
      <w:r w:rsidR="002C0642">
        <w:t>, and courts and commentators continue to debate</w:t>
      </w:r>
      <w:r w:rsidR="001408AD">
        <w:t xml:space="preserve"> its implications and limitations</w:t>
      </w:r>
      <w:r w:rsidR="00F44235">
        <w:t xml:space="preserve">. </w:t>
      </w:r>
      <w:r w:rsidR="00A519CB" w:rsidRPr="00A519CB">
        <w:t xml:space="preserve">See Phillip L. Bruner &amp; Patrick J. O’Connor, Jr., </w:t>
      </w:r>
      <w:r w:rsidR="00D05101">
        <w:t>3</w:t>
      </w:r>
      <w:r w:rsidR="00A519CB" w:rsidRPr="00A519CB">
        <w:t xml:space="preserve"> </w:t>
      </w:r>
      <w:r w:rsidR="00A519CB" w:rsidRPr="00A519CB">
        <w:rPr>
          <w:i/>
          <w:iCs/>
        </w:rPr>
        <w:t>Bruner &amp; O’Connor on Construction Law</w:t>
      </w:r>
      <w:r w:rsidR="00A519CB" w:rsidRPr="00A519CB">
        <w:t xml:space="preserve">, </w:t>
      </w:r>
      <w:r w:rsidR="003D46E8">
        <w:t>§§ 9:90-9:104</w:t>
      </w:r>
      <w:r w:rsidR="003D46E8" w:rsidRPr="00A519CB">
        <w:t xml:space="preserve"> </w:t>
      </w:r>
      <w:r w:rsidR="00A519CB" w:rsidRPr="00A519CB">
        <w:t>(Westlaw Aug. 2023).</w:t>
      </w:r>
    </w:p>
    <w:p w14:paraId="505CB031" w14:textId="77777777" w:rsidR="005B351C" w:rsidRDefault="005B351C" w:rsidP="004F799C"/>
    <w:p w14:paraId="106DDE7F" w14:textId="0011A37F" w:rsidR="008C6069" w:rsidRDefault="00405EA6" w:rsidP="005B351C">
      <w:pPr>
        <w:ind w:firstLine="720"/>
      </w:pPr>
      <w:r>
        <w:t>T</w:t>
      </w:r>
      <w:r w:rsidR="006B2B4C">
        <w:t xml:space="preserve">he U.S. Supreme Court developed the </w:t>
      </w:r>
      <w:proofErr w:type="spellStart"/>
      <w:r w:rsidR="006B2B4C">
        <w:t>Spearin</w:t>
      </w:r>
      <w:proofErr w:type="spellEnd"/>
      <w:r w:rsidR="006B2B4C">
        <w:t xml:space="preserve"> Doctrine </w:t>
      </w:r>
      <w:r w:rsidR="008A7E58">
        <w:t>in the context of a fixed-price contract for construction work thoroughly defined via detailed plans and specifications</w:t>
      </w:r>
      <w:r w:rsidR="009669CE">
        <w:t xml:space="preserve"> for a design-bid-build project</w:t>
      </w:r>
      <w:r w:rsidR="008A7E58">
        <w:t xml:space="preserve">. </w:t>
      </w:r>
      <w:r w:rsidR="00F17421">
        <w:t xml:space="preserve">In other words, the </w:t>
      </w:r>
      <w:proofErr w:type="spellStart"/>
      <w:r w:rsidR="00F17421">
        <w:t>Spearin</w:t>
      </w:r>
      <w:proofErr w:type="spellEnd"/>
      <w:r w:rsidR="00F17421">
        <w:t xml:space="preserve"> Doctrine </w:t>
      </w:r>
      <w:r w:rsidR="00B810C6">
        <w:t>derives from the context for which A101</w:t>
      </w:r>
      <w:r w:rsidR="00042DDC">
        <w:t xml:space="preserve"> is designed. Moreover, as you will see</w:t>
      </w:r>
      <w:r w:rsidR="00125BA1">
        <w:t xml:space="preserve"> when this lesson </w:t>
      </w:r>
      <w:r w:rsidR="00C310C8">
        <w:t xml:space="preserve">considers Article 3 of the AIA general conditions, the </w:t>
      </w:r>
      <w:proofErr w:type="spellStart"/>
      <w:r w:rsidR="00F75C01">
        <w:t>Spearin</w:t>
      </w:r>
      <w:proofErr w:type="spellEnd"/>
      <w:r w:rsidR="00F75C01">
        <w:t xml:space="preserve"> Doctrine re</w:t>
      </w:r>
      <w:r w:rsidR="00A147EC">
        <w:t xml:space="preserve">mains largely intact </w:t>
      </w:r>
      <w:r w:rsidR="00522C64">
        <w:t>in the</w:t>
      </w:r>
      <w:r w:rsidR="00A147EC">
        <w:t xml:space="preserve"> </w:t>
      </w:r>
      <w:r w:rsidR="000E4B86">
        <w:t>AIA approach to a design-bid-build project</w:t>
      </w:r>
      <w:r w:rsidR="00A147EC">
        <w:t>.</w:t>
      </w:r>
      <w:r w:rsidR="00042DDC">
        <w:t xml:space="preserve"> </w:t>
      </w:r>
    </w:p>
    <w:p w14:paraId="543FAB8C" w14:textId="77777777" w:rsidR="008C6069" w:rsidRDefault="008C6069" w:rsidP="005B351C">
      <w:pPr>
        <w:ind w:firstLine="720"/>
      </w:pPr>
    </w:p>
    <w:p w14:paraId="187816E8" w14:textId="56D193E2" w:rsidR="00BD3EB0" w:rsidRDefault="005B351C" w:rsidP="005B351C">
      <w:pPr>
        <w:ind w:firstLine="720"/>
      </w:pPr>
      <w:r>
        <w:t xml:space="preserve">With limited exceptions, state courts have widely embraced the </w:t>
      </w:r>
      <w:proofErr w:type="spellStart"/>
      <w:r>
        <w:t>Spearin</w:t>
      </w:r>
      <w:proofErr w:type="spellEnd"/>
      <w:r>
        <w:t xml:space="preserve"> Doctrine</w:t>
      </w:r>
      <w:r w:rsidR="00CB3D0D">
        <w:t xml:space="preserve"> in that same context. Less clear, however, are </w:t>
      </w:r>
      <w:proofErr w:type="spellStart"/>
      <w:r w:rsidR="00CB3D0D">
        <w:t>Spearin’s</w:t>
      </w:r>
      <w:proofErr w:type="spellEnd"/>
      <w:r w:rsidR="00CB3D0D">
        <w:t xml:space="preserve"> </w:t>
      </w:r>
      <w:r w:rsidR="00DE54DD">
        <w:t>implications</w:t>
      </w:r>
      <w:r w:rsidR="00CB3D0D">
        <w:t xml:space="preserve"> in other situations. </w:t>
      </w:r>
      <w:r w:rsidR="00F30C11">
        <w:t>The design-build system represents a</w:t>
      </w:r>
      <w:r w:rsidR="00ED5790">
        <w:t xml:space="preserve"> clear case for rejecting or severely limiting the owner’s implied warranty </w:t>
      </w:r>
      <w:r w:rsidR="00F30C11">
        <w:t>of plans and specifications</w:t>
      </w:r>
      <w:r w:rsidR="00BC2CB4">
        <w:t xml:space="preserve">. Similarly, </w:t>
      </w:r>
      <w:r w:rsidR="00E813D9">
        <w:t xml:space="preserve">the </w:t>
      </w:r>
      <w:proofErr w:type="spellStart"/>
      <w:r w:rsidR="00E813D9">
        <w:t>Spearin</w:t>
      </w:r>
      <w:proofErr w:type="spellEnd"/>
      <w:r w:rsidR="00E813D9">
        <w:t xml:space="preserve"> Doctrine should not apply </w:t>
      </w:r>
      <w:r w:rsidR="00A872B7">
        <w:t>to the extent</w:t>
      </w:r>
      <w:r w:rsidR="00787D7F">
        <w:t xml:space="preserve"> an owner furnishes “performance specifications,” which</w:t>
      </w:r>
      <w:r w:rsidR="005F07A1">
        <w:t xml:space="preserve"> do not direct the builder to follow detailed or complete </w:t>
      </w:r>
      <w:r w:rsidR="00E813D9">
        <w:t>plans and specifications</w:t>
      </w:r>
      <w:r w:rsidR="00615FD4">
        <w:t xml:space="preserve"> for some aspect of the work</w:t>
      </w:r>
      <w:r w:rsidR="00E813D9">
        <w:t xml:space="preserve"> but</w:t>
      </w:r>
      <w:r w:rsidR="00F13B12">
        <w:t>, instead,</w:t>
      </w:r>
      <w:r w:rsidR="005F07A1">
        <w:t xml:space="preserve"> explicitly leave </w:t>
      </w:r>
      <w:r w:rsidR="00FB3CC6">
        <w:t xml:space="preserve">to the builder the responsibility to prepare the </w:t>
      </w:r>
      <w:r w:rsidR="005F07A1">
        <w:t>detailed design</w:t>
      </w:r>
      <w:r w:rsidR="00F13B12">
        <w:t xml:space="preserve">. </w:t>
      </w:r>
      <w:r w:rsidR="00BC2CB4">
        <w:t xml:space="preserve">More complicated issues arise </w:t>
      </w:r>
      <w:r w:rsidR="00F13B12">
        <w:t xml:space="preserve">in other situations, such as when </w:t>
      </w:r>
      <w:r w:rsidR="00BD1650">
        <w:t xml:space="preserve">the builder participates in the design phase in </w:t>
      </w:r>
      <w:r w:rsidR="000F3B60">
        <w:t>some</w:t>
      </w:r>
      <w:r w:rsidR="00BD1650">
        <w:t xml:space="preserve"> </w:t>
      </w:r>
      <w:r w:rsidR="0037378F">
        <w:t xml:space="preserve">limited </w:t>
      </w:r>
      <w:r w:rsidR="00BD1650">
        <w:t>way</w:t>
      </w:r>
      <w:r w:rsidR="00535F9F">
        <w:t xml:space="preserve"> or when evidence suggests that the builder did not </w:t>
      </w:r>
      <w:r w:rsidR="00B47B8C">
        <w:t xml:space="preserve">sufficiently rely on or adhere to the </w:t>
      </w:r>
      <w:r w:rsidR="003A3403">
        <w:t>plans and specifications the owner furnished</w:t>
      </w:r>
      <w:r w:rsidR="0037378F">
        <w:t>.</w:t>
      </w:r>
    </w:p>
    <w:p w14:paraId="437C0508" w14:textId="77777777" w:rsidR="0037378F" w:rsidRDefault="0037378F" w:rsidP="005B351C">
      <w:pPr>
        <w:ind w:firstLine="720"/>
      </w:pPr>
    </w:p>
    <w:p w14:paraId="4DA0C899" w14:textId="7CD53F50" w:rsidR="0037378F" w:rsidRDefault="0037378F" w:rsidP="005B351C">
      <w:pPr>
        <w:ind w:firstLine="720"/>
      </w:pPr>
      <w:r>
        <w:t xml:space="preserve">One authority </w:t>
      </w:r>
      <w:r w:rsidR="00CE19C2">
        <w:t xml:space="preserve">lists </w:t>
      </w:r>
      <w:r w:rsidR="003D1533">
        <w:t>several</w:t>
      </w:r>
      <w:r>
        <w:t xml:space="preserve"> </w:t>
      </w:r>
      <w:r w:rsidR="00B93C9C">
        <w:t xml:space="preserve">circumstances in which </w:t>
      </w:r>
      <w:proofErr w:type="spellStart"/>
      <w:r w:rsidR="00B93C9C">
        <w:t>Spearin</w:t>
      </w:r>
      <w:proofErr w:type="spellEnd"/>
      <w:r w:rsidR="00B93C9C">
        <w:t xml:space="preserve"> may not protect a contractor even </w:t>
      </w:r>
      <w:r w:rsidR="00A45591">
        <w:t>when the project uses the design-bid-build delivery system:</w:t>
      </w:r>
    </w:p>
    <w:p w14:paraId="371F7A7D" w14:textId="77777777" w:rsidR="008D43A0" w:rsidRDefault="008D43A0" w:rsidP="005B351C">
      <w:pPr>
        <w:ind w:firstLine="720"/>
      </w:pPr>
    </w:p>
    <w:p w14:paraId="4BA49EFC" w14:textId="77777777" w:rsidR="00C07BDD" w:rsidRPr="00F23C43" w:rsidRDefault="00C07BDD" w:rsidP="00B132EE">
      <w:pPr>
        <w:spacing w:after="160" w:line="259" w:lineRule="auto"/>
        <w:ind w:left="720" w:firstLine="720"/>
        <w:rPr>
          <w:sz w:val="22"/>
          <w:szCs w:val="22"/>
        </w:rPr>
      </w:pPr>
      <w:r w:rsidRPr="00F23C43">
        <w:rPr>
          <w:sz w:val="22"/>
          <w:szCs w:val="22"/>
        </w:rPr>
        <w:t xml:space="preserve">Under the modern rule, the </w:t>
      </w:r>
      <w:proofErr w:type="spellStart"/>
      <w:r w:rsidRPr="00F23C43">
        <w:rPr>
          <w:rFonts w:eastAsiaTheme="majorEastAsia"/>
          <w:i/>
          <w:iCs/>
          <w:sz w:val="22"/>
          <w:szCs w:val="22"/>
        </w:rPr>
        <w:t>Spearin</w:t>
      </w:r>
      <w:proofErr w:type="spellEnd"/>
      <w:r w:rsidRPr="00F23C43">
        <w:rPr>
          <w:sz w:val="22"/>
          <w:szCs w:val="22"/>
        </w:rPr>
        <w:t xml:space="preserve"> doctrine cannot be invoked when (1) the contract contains a specific exculpatory clause or other express disclaimer of design liability; (2) the contractor had a duty to inquire as to patent or obvious defects but failed to do so; (3) the specifications provided are classified as performance specifications only, and not design specifications; (4) the defects in the plans and specifications are minor and do not result in </w:t>
      </w:r>
      <w:r w:rsidRPr="00F23C43">
        <w:rPr>
          <w:sz w:val="22"/>
          <w:szCs w:val="22"/>
        </w:rPr>
        <w:lastRenderedPageBreak/>
        <w:t>substantial design changes; and (5) in some jurisdictions, delay damages are sought flowing from design defects.</w:t>
      </w:r>
      <w:r w:rsidRPr="00F23C43">
        <w:rPr>
          <w:sz w:val="22"/>
          <w:szCs w:val="22"/>
        </w:rPr>
        <w:br/>
      </w:r>
    </w:p>
    <w:p w14:paraId="7E4D84CF" w14:textId="77777777" w:rsidR="00102E3C" w:rsidRDefault="00C07BDD" w:rsidP="00C07BDD">
      <w:r w:rsidRPr="00F23C43">
        <w:t xml:space="preserve">Lauren P. McLaughlin, Shoshana E. Rothman, </w:t>
      </w:r>
      <w:r w:rsidRPr="00327A4F">
        <w:rPr>
          <w:i/>
          <w:iCs/>
        </w:rPr>
        <w:t xml:space="preserve">When </w:t>
      </w:r>
      <w:proofErr w:type="spellStart"/>
      <w:r w:rsidRPr="00327A4F">
        <w:rPr>
          <w:i/>
          <w:iCs/>
        </w:rPr>
        <w:t>Spearin</w:t>
      </w:r>
      <w:proofErr w:type="spellEnd"/>
      <w:r w:rsidRPr="00327A4F">
        <w:rPr>
          <w:i/>
          <w:iCs/>
        </w:rPr>
        <w:t xml:space="preserve"> Won't Work: How Contractual Risk Allocation Often Undermines This Landmark Ruling</w:t>
      </w:r>
      <w:r w:rsidRPr="00F23C43">
        <w:t>, Constr. Law., Summer 2015, at 39, 40</w:t>
      </w:r>
      <w:r w:rsidR="00B132EE">
        <w:t>.</w:t>
      </w:r>
    </w:p>
    <w:p w14:paraId="645C73D6" w14:textId="77777777" w:rsidR="00102E3C" w:rsidRDefault="00102E3C" w:rsidP="00C07BDD"/>
    <w:p w14:paraId="3664490C" w14:textId="61D3E04B" w:rsidR="00DB00FC" w:rsidRPr="00D430DC" w:rsidRDefault="002A3D9B" w:rsidP="00102E3C">
      <w:pPr>
        <w:ind w:firstLine="720"/>
      </w:pPr>
      <w:r>
        <w:t xml:space="preserve">Having completed this brief theoretical diversion, we turn now to the AIA general conditions document to </w:t>
      </w:r>
      <w:r w:rsidR="00311002">
        <w:t>see</w:t>
      </w:r>
      <w:r>
        <w:t xml:space="preserve"> how it fleshes out the AIA’s approach to the owner-builder relationship in a design-bid-build project.</w:t>
      </w:r>
    </w:p>
    <w:p w14:paraId="6C21B3F1" w14:textId="77777777" w:rsidR="00615249" w:rsidRDefault="00615249" w:rsidP="005B351C">
      <w:pPr>
        <w:ind w:firstLine="720"/>
      </w:pPr>
    </w:p>
    <w:p w14:paraId="18457062" w14:textId="54E0475D" w:rsidR="00615249" w:rsidRPr="00353E49" w:rsidRDefault="00794B02" w:rsidP="008C5ECB">
      <w:pPr>
        <w:rPr>
          <w:u w:val="single"/>
        </w:rPr>
      </w:pPr>
      <w:r w:rsidRPr="00353E49">
        <w:rPr>
          <w:u w:val="single"/>
        </w:rPr>
        <w:t>General conditions of the contract for construction</w:t>
      </w:r>
      <w:r w:rsidR="00353E49" w:rsidRPr="00353E49">
        <w:rPr>
          <w:u w:val="single"/>
        </w:rPr>
        <w:t>: the A201 approach</w:t>
      </w:r>
    </w:p>
    <w:p w14:paraId="3BD1D9AC" w14:textId="77777777" w:rsidR="009B7686" w:rsidRDefault="009B7686" w:rsidP="009B7686"/>
    <w:p w14:paraId="5AF6A630" w14:textId="5CD9B39A" w:rsidR="008934BC" w:rsidRDefault="00446555" w:rsidP="009B7686">
      <w:pPr>
        <w:ind w:firstLine="720"/>
      </w:pPr>
      <w:r>
        <w:t>To a novice,</w:t>
      </w:r>
      <w:r w:rsidR="00A63A6B">
        <w:t xml:space="preserve"> a reference to</w:t>
      </w:r>
      <w:r>
        <w:t xml:space="preserve"> the general conditions of a contract might suggest </w:t>
      </w:r>
      <w:r w:rsidR="00321AE2">
        <w:t xml:space="preserve">the kind of tedium </w:t>
      </w:r>
      <w:r w:rsidR="0058609B">
        <w:t>sometimes associated with “</w:t>
      </w:r>
      <w:r>
        <w:t>miscellaneous</w:t>
      </w:r>
      <w:r w:rsidR="0058609B">
        <w:t>”</w:t>
      </w:r>
      <w:r>
        <w:t xml:space="preserve"> and </w:t>
      </w:r>
      <w:r w:rsidR="0058609B">
        <w:t>“</w:t>
      </w:r>
      <w:r>
        <w:t>boilerplate</w:t>
      </w:r>
      <w:r w:rsidR="0058609B">
        <w:t>”</w:t>
      </w:r>
      <w:r w:rsidR="00321AE2">
        <w:t xml:space="preserve"> clauses</w:t>
      </w:r>
      <w:r w:rsidR="0058609B">
        <w:t xml:space="preserve">. </w:t>
      </w:r>
      <w:r w:rsidR="00FA54F9">
        <w:t xml:space="preserve">In the </w:t>
      </w:r>
      <w:r w:rsidR="00404214">
        <w:t>AIA</w:t>
      </w:r>
      <w:r w:rsidR="00FA54F9">
        <w:t xml:space="preserve"> lexicon, however, </w:t>
      </w:r>
      <w:r w:rsidR="00776C01">
        <w:t>a contract’s general conditions include some of the most important</w:t>
      </w:r>
      <w:r w:rsidR="007A7CF6">
        <w:t xml:space="preserve"> terms</w:t>
      </w:r>
      <w:r w:rsidR="00E774CC">
        <w:t xml:space="preserve"> that define the legal relationship between the contracting parties (</w:t>
      </w:r>
      <w:r w:rsidR="0051549D">
        <w:t>typically the owner and</w:t>
      </w:r>
      <w:r w:rsidR="00640935">
        <w:t xml:space="preserve"> the</w:t>
      </w:r>
      <w:r w:rsidR="0051549D">
        <w:t xml:space="preserve"> </w:t>
      </w:r>
      <w:r w:rsidR="00465910">
        <w:t>primary</w:t>
      </w:r>
      <w:r w:rsidR="0051549D">
        <w:t xml:space="preserve"> </w:t>
      </w:r>
      <w:r w:rsidR="00640935">
        <w:t>builder</w:t>
      </w:r>
      <w:r w:rsidR="0051549D">
        <w:t xml:space="preserve"> or the </w:t>
      </w:r>
      <w:r w:rsidR="00465910">
        <w:t>primary</w:t>
      </w:r>
      <w:r w:rsidR="0051549D">
        <w:t xml:space="preserve"> </w:t>
      </w:r>
      <w:r w:rsidR="00640935">
        <w:t>builder</w:t>
      </w:r>
      <w:r w:rsidR="0051549D">
        <w:t xml:space="preserve"> and subcontractors)</w:t>
      </w:r>
      <w:r w:rsidR="007A7CF6">
        <w:t xml:space="preserve">. </w:t>
      </w:r>
      <w:r w:rsidR="006608D5">
        <w:t>I</w:t>
      </w:r>
      <w:r w:rsidR="009E17D8">
        <w:t>n</w:t>
      </w:r>
      <w:r w:rsidR="006608D5">
        <w:t xml:space="preserve"> the</w:t>
      </w:r>
      <w:r w:rsidR="009E17D8">
        <w:t xml:space="preserve"> A201</w:t>
      </w:r>
      <w:r w:rsidR="006608D5">
        <w:t xml:space="preserve"> approach</w:t>
      </w:r>
      <w:r w:rsidR="009E17D8">
        <w:t>,</w:t>
      </w:r>
      <w:r w:rsidR="007D7EB8">
        <w:t xml:space="preserve"> general conditions </w:t>
      </w:r>
      <w:r w:rsidR="00991216">
        <w:t xml:space="preserve">reside </w:t>
      </w:r>
      <w:r w:rsidR="004C4104">
        <w:t>in</w:t>
      </w:r>
      <w:r w:rsidR="00614D6B">
        <w:t xml:space="preserve"> a</w:t>
      </w:r>
      <w:r w:rsidR="004C4104">
        <w:t xml:space="preserve"> lengthy form</w:t>
      </w:r>
      <w:r w:rsidR="00991216">
        <w:t xml:space="preserve"> document</w:t>
      </w:r>
      <w:r w:rsidR="00510C34">
        <w:t xml:space="preserve"> that </w:t>
      </w:r>
      <w:r w:rsidR="001F6467">
        <w:t>parties</w:t>
      </w:r>
      <w:r w:rsidR="00510C34">
        <w:t xml:space="preserve"> can easily incorporate into their contracts without change</w:t>
      </w:r>
      <w:r w:rsidR="00991216">
        <w:t xml:space="preserve"> to fill in many details of the relationship.</w:t>
      </w:r>
      <w:r w:rsidR="00510C34">
        <w:t xml:space="preserve"> </w:t>
      </w:r>
      <w:r w:rsidR="0080434E">
        <w:t>S</w:t>
      </w:r>
      <w:r w:rsidR="00510C34">
        <w:t>ophisticated</w:t>
      </w:r>
      <w:r w:rsidR="001F6467">
        <w:t xml:space="preserve"> industry participants</w:t>
      </w:r>
      <w:r w:rsidR="007A7CF6">
        <w:t xml:space="preserve"> </w:t>
      </w:r>
      <w:r w:rsidR="001F6467">
        <w:t>and their lawyers</w:t>
      </w:r>
      <w:r w:rsidR="0080434E">
        <w:t>, however, review the general conditions carefully in the context of each project, and they</w:t>
      </w:r>
      <w:r w:rsidR="001F6467">
        <w:t xml:space="preserve"> </w:t>
      </w:r>
      <w:r w:rsidR="007A7CF6">
        <w:t>frequently negotiate</w:t>
      </w:r>
      <w:r w:rsidR="00925A17">
        <w:t xml:space="preserve"> changes to </w:t>
      </w:r>
      <w:r w:rsidR="0080434E">
        <w:t>the general conditions</w:t>
      </w:r>
      <w:r w:rsidR="00925A17">
        <w:t xml:space="preserve"> or replace</w:t>
      </w:r>
      <w:r w:rsidR="009D5A22">
        <w:t xml:space="preserve"> some of the provisions</w:t>
      </w:r>
      <w:r w:rsidR="00925A17">
        <w:t xml:space="preserve"> with alternative terms</w:t>
      </w:r>
      <w:r w:rsidR="009D5A22">
        <w:t xml:space="preserve"> more suitable to the circumstances of the project and the parties</w:t>
      </w:r>
      <w:r w:rsidR="00925A17">
        <w:t xml:space="preserve">. </w:t>
      </w:r>
      <w:r w:rsidR="0026741B">
        <w:t>(</w:t>
      </w:r>
      <w:r w:rsidR="005531E9">
        <w:t>As an unfortunate aside</w:t>
      </w:r>
      <w:r w:rsidR="0026741B">
        <w:t>,</w:t>
      </w:r>
      <w:r w:rsidR="005531E9">
        <w:t xml:space="preserve"> you should know that</w:t>
      </w:r>
      <w:r w:rsidR="0026741B">
        <w:t xml:space="preserve"> the construction industry </w:t>
      </w:r>
      <w:r w:rsidR="00C165A4">
        <w:t xml:space="preserve">also </w:t>
      </w:r>
      <w:r w:rsidR="0026741B">
        <w:t xml:space="preserve">sometimes uses the term “general conditions” to refer to certain general or administrative costs involved in performing construction work, but we can safely ignore this </w:t>
      </w:r>
      <w:r w:rsidR="005531E9">
        <w:t xml:space="preserve">alternative </w:t>
      </w:r>
      <w:r w:rsidR="0026741B">
        <w:t>usage for now.)</w:t>
      </w:r>
    </w:p>
    <w:p w14:paraId="2B07ACC6" w14:textId="77777777" w:rsidR="00493548" w:rsidRDefault="00493548" w:rsidP="009B7686">
      <w:pPr>
        <w:ind w:firstLine="720"/>
      </w:pPr>
    </w:p>
    <w:p w14:paraId="48D33DE9" w14:textId="24E30B35" w:rsidR="00396D7D" w:rsidRDefault="002F23F7" w:rsidP="00C70F5F">
      <w:pPr>
        <w:ind w:firstLine="720"/>
      </w:pPr>
      <w:r>
        <w:t>AIA</w:t>
      </w:r>
      <w:r w:rsidR="008934BC">
        <w:t xml:space="preserve">’s </w:t>
      </w:r>
      <w:r>
        <w:t xml:space="preserve">A201 </w:t>
      </w:r>
      <w:r w:rsidR="003B2B1E">
        <w:t>represents</w:t>
      </w:r>
      <w:r>
        <w:t xml:space="preserve"> the most familiar</w:t>
      </w:r>
      <w:r w:rsidR="00B53119">
        <w:t xml:space="preserve"> </w:t>
      </w:r>
      <w:r w:rsidR="006E2CE7">
        <w:t>“standard” set of</w:t>
      </w:r>
      <w:r>
        <w:t xml:space="preserve"> </w:t>
      </w:r>
      <w:r w:rsidR="008934BC">
        <w:t>construction contract</w:t>
      </w:r>
      <w:r w:rsidR="003B2B1E">
        <w:t xml:space="preserve"> condition</w:t>
      </w:r>
      <w:r w:rsidR="008934BC">
        <w:t>s</w:t>
      </w:r>
      <w:r w:rsidR="00635975">
        <w:t xml:space="preserve">, especially for </w:t>
      </w:r>
      <w:r w:rsidR="008934BC">
        <w:t>traditional</w:t>
      </w:r>
      <w:r w:rsidR="00635975">
        <w:t xml:space="preserve"> commercial projects</w:t>
      </w:r>
      <w:r w:rsidR="00FA68BD">
        <w:t xml:space="preserve">. </w:t>
      </w:r>
      <w:r w:rsidR="00F33FEF">
        <w:t>Under</w:t>
      </w:r>
      <w:r w:rsidR="00520F4A">
        <w:t xml:space="preserve"> the AIA approach, A201 furnishes the general conditions </w:t>
      </w:r>
      <w:r w:rsidR="00F33FEF">
        <w:t xml:space="preserve">for </w:t>
      </w:r>
      <w:r w:rsidR="003D0158">
        <w:t>design-bid-build projects whether they use</w:t>
      </w:r>
      <w:r w:rsidR="0012671F">
        <w:t xml:space="preserve"> fixed pricing</w:t>
      </w:r>
      <w:r w:rsidR="0048294B">
        <w:t>,</w:t>
      </w:r>
      <w:r w:rsidR="0012671F">
        <w:t xml:space="preserve"> </w:t>
      </w:r>
      <w:r w:rsidR="003D0158">
        <w:t>as</w:t>
      </w:r>
      <w:r w:rsidR="0012671F">
        <w:t xml:space="preserve"> A101 contemplates</w:t>
      </w:r>
      <w:r w:rsidR="0048294B">
        <w:t>,</w:t>
      </w:r>
      <w:r w:rsidR="0012671F">
        <w:t xml:space="preserve"> or a cost-based pricing system</w:t>
      </w:r>
      <w:r w:rsidR="00635975">
        <w:t>.</w:t>
      </w:r>
      <w:r w:rsidR="004344F4">
        <w:t xml:space="preserve"> </w:t>
      </w:r>
      <w:r w:rsidR="00F675D4">
        <w:t>If you ask ten experienced construction lawyers for their opinions on A201</w:t>
      </w:r>
      <w:r w:rsidR="00522575">
        <w:t xml:space="preserve"> and how they </w:t>
      </w:r>
      <w:r w:rsidR="004F68F0">
        <w:t xml:space="preserve">typically approach a project for which A201 is proposed as the general conditions, you might well receive ten different and somewhat conflicting responses. </w:t>
      </w:r>
      <w:r w:rsidR="00C665CB">
        <w:t xml:space="preserve">In this lesson, the </w:t>
      </w:r>
      <w:r w:rsidR="001919A8">
        <w:t>objective</w:t>
      </w:r>
      <w:r w:rsidR="00C665CB">
        <w:t xml:space="preserve"> is not to endorse or </w:t>
      </w:r>
      <w:r w:rsidR="001334F8">
        <w:t>reject</w:t>
      </w:r>
      <w:r w:rsidR="00C665CB">
        <w:t xml:space="preserve"> A201</w:t>
      </w:r>
      <w:r w:rsidR="00F22719">
        <w:t xml:space="preserve"> as the preferred approach</w:t>
      </w:r>
      <w:r w:rsidR="00C665CB">
        <w:t xml:space="preserve">, but merely to </w:t>
      </w:r>
      <w:r w:rsidR="002811EF">
        <w:t xml:space="preserve">appreciate the scope and significance of A201 as an example of some of the most important issues </w:t>
      </w:r>
      <w:r w:rsidR="00544841">
        <w:t>construction contract</w:t>
      </w:r>
      <w:r w:rsidR="006731DE">
        <w:t>s</w:t>
      </w:r>
      <w:r w:rsidR="00544841">
        <w:t xml:space="preserve"> should</w:t>
      </w:r>
      <w:r w:rsidR="002557A8">
        <w:t xml:space="preserve"> often</w:t>
      </w:r>
      <w:r w:rsidR="00544841">
        <w:t xml:space="preserve"> address. Indeed, even construction lawyers who </w:t>
      </w:r>
      <w:r w:rsidR="00103355">
        <w:t>firmly</w:t>
      </w:r>
      <w:r w:rsidR="00396214">
        <w:t xml:space="preserve"> object to using A201</w:t>
      </w:r>
      <w:r w:rsidR="007E4F70">
        <w:t xml:space="preserve"> will generally </w:t>
      </w:r>
      <w:r w:rsidR="000D28DD">
        <w:t>recognize</w:t>
      </w:r>
      <w:r w:rsidR="007E4F70">
        <w:t xml:space="preserve"> that it provides a good template or checklist of the</w:t>
      </w:r>
      <w:r w:rsidR="002A5278">
        <w:t xml:space="preserve"> common</w:t>
      </w:r>
      <w:r w:rsidR="007E4F70">
        <w:t xml:space="preserve"> issues an owner-</w:t>
      </w:r>
      <w:r w:rsidR="00103355">
        <w:t>builder</w:t>
      </w:r>
      <w:r w:rsidR="007E4F70">
        <w:t xml:space="preserve"> agreement should </w:t>
      </w:r>
      <w:r w:rsidR="002A5278">
        <w:t>cover.</w:t>
      </w:r>
      <w:r w:rsidR="00841BF7">
        <w:t xml:space="preserve"> </w:t>
      </w:r>
      <w:r w:rsidR="00913092">
        <w:t>For these purposes,</w:t>
      </w:r>
      <w:r w:rsidR="00410AEF">
        <w:t xml:space="preserve"> </w:t>
      </w:r>
      <w:r w:rsidR="004D4416">
        <w:t xml:space="preserve">these concluding paragraphs invite you </w:t>
      </w:r>
      <w:r w:rsidR="009B3117">
        <w:t>first</w:t>
      </w:r>
      <w:r w:rsidR="004D4416">
        <w:t xml:space="preserve"> to</w:t>
      </w:r>
      <w:r w:rsidR="009B3117">
        <w:t xml:space="preserve"> </w:t>
      </w:r>
      <w:r w:rsidR="00B449A8">
        <w:t>consider</w:t>
      </w:r>
      <w:r w:rsidR="0087743B">
        <w:t xml:space="preserve"> A201</w:t>
      </w:r>
      <w:r w:rsidR="00976CB7">
        <w:t xml:space="preserve">’s </w:t>
      </w:r>
      <w:r w:rsidR="004D4416">
        <w:t>o</w:t>
      </w:r>
      <w:r w:rsidR="009B3117">
        <w:t xml:space="preserve">verall </w:t>
      </w:r>
      <w:r w:rsidR="00976CB7">
        <w:t>scope</w:t>
      </w:r>
      <w:r w:rsidR="00271A10">
        <w:t>, then</w:t>
      </w:r>
      <w:r w:rsidR="004D4416">
        <w:t xml:space="preserve"> to</w:t>
      </w:r>
      <w:r w:rsidR="00895A92">
        <w:t xml:space="preserve"> </w:t>
      </w:r>
      <w:r w:rsidR="00566831">
        <w:t>reflect</w:t>
      </w:r>
      <w:r w:rsidR="00C43882">
        <w:t xml:space="preserve"> on</w:t>
      </w:r>
      <w:r w:rsidR="00566831">
        <w:t xml:space="preserve"> </w:t>
      </w:r>
      <w:r w:rsidR="00622387">
        <w:t xml:space="preserve">how three </w:t>
      </w:r>
      <w:r w:rsidR="00224868">
        <w:t xml:space="preserve">of its </w:t>
      </w:r>
      <w:r w:rsidR="00622387">
        <w:t>specific articles function</w:t>
      </w:r>
      <w:r w:rsidR="00764685">
        <w:t xml:space="preserve"> to define the basic relationship more</w:t>
      </w:r>
      <w:r w:rsidR="00A55654">
        <w:t xml:space="preserve"> fully</w:t>
      </w:r>
      <w:r w:rsidR="00622387">
        <w:t>,</w:t>
      </w:r>
      <w:r w:rsidR="00566831">
        <w:t xml:space="preserve"> and finally </w:t>
      </w:r>
      <w:r w:rsidR="00DA7E15">
        <w:t xml:space="preserve">to </w:t>
      </w:r>
      <w:r w:rsidR="00B449A8">
        <w:t xml:space="preserve">review </w:t>
      </w:r>
      <w:r w:rsidR="00DA7E15">
        <w:t>one practical</w:t>
      </w:r>
      <w:r w:rsidR="00B449A8">
        <w:t xml:space="preserve"> commentary</w:t>
      </w:r>
      <w:r w:rsidR="00224868">
        <w:t xml:space="preserve"> </w:t>
      </w:r>
      <w:r w:rsidR="009C7B76">
        <w:t>on</w:t>
      </w:r>
      <w:r w:rsidR="00224868">
        <w:t xml:space="preserve"> some of its most important provisions</w:t>
      </w:r>
      <w:r w:rsidR="00410AEF">
        <w:t>.</w:t>
      </w:r>
    </w:p>
    <w:p w14:paraId="7A2B91EA" w14:textId="77777777" w:rsidR="004973D5" w:rsidRDefault="004973D5" w:rsidP="009B7686">
      <w:pPr>
        <w:ind w:firstLine="720"/>
      </w:pPr>
    </w:p>
    <w:p w14:paraId="5F4C4173" w14:textId="579ED580" w:rsidR="002A5278" w:rsidRDefault="00402637" w:rsidP="009B7686">
      <w:pPr>
        <w:ind w:firstLine="720"/>
      </w:pPr>
      <w:r>
        <w:t>To begin</w:t>
      </w:r>
      <w:r w:rsidR="00D54CDE">
        <w:t>, c</w:t>
      </w:r>
      <w:r w:rsidR="009D7ED3">
        <w:t xml:space="preserve">arefully </w:t>
      </w:r>
      <w:r w:rsidR="00AE311F">
        <w:t>think through</w:t>
      </w:r>
      <w:r w:rsidR="009D7ED3">
        <w:t xml:space="preserve"> page 1 of A201 (the</w:t>
      </w:r>
      <w:r w:rsidR="00903B08">
        <w:t xml:space="preserve"> Table of Articles)</w:t>
      </w:r>
      <w:r w:rsidR="00723E1D">
        <w:t xml:space="preserve">, which </w:t>
      </w:r>
      <w:r w:rsidR="006F7BA9">
        <w:t>lists</w:t>
      </w:r>
      <w:r w:rsidR="00723E1D">
        <w:t xml:space="preserve"> each of the main topics</w:t>
      </w:r>
      <w:r w:rsidR="006F7BA9">
        <w:t xml:space="preserve"> </w:t>
      </w:r>
      <w:r w:rsidR="00365287">
        <w:t>this standard form covers</w:t>
      </w:r>
      <w:r w:rsidR="00903B08">
        <w:t xml:space="preserve">. </w:t>
      </w:r>
      <w:r w:rsidR="00DA7DEF">
        <w:t>In one way or another, you should expect most owner-contractor agreements to address each of th</w:t>
      </w:r>
      <w:r w:rsidR="00D54CDE">
        <w:t>e</w:t>
      </w:r>
      <w:r w:rsidR="00723E1D">
        <w:t>se topics</w:t>
      </w:r>
      <w:r w:rsidR="006F7BA9">
        <w:t xml:space="preserve"> because each </w:t>
      </w:r>
      <w:r w:rsidR="00D54CDE">
        <w:t>one</w:t>
      </w:r>
      <w:r w:rsidR="006F7BA9">
        <w:t xml:space="preserve"> </w:t>
      </w:r>
      <w:r w:rsidR="00B16E2F">
        <w:t xml:space="preserve">allocates and manages distinct risks common to construction projects, especially </w:t>
      </w:r>
      <w:r w:rsidR="007A24F7">
        <w:t>in design-bid-build projects.</w:t>
      </w:r>
      <w:r w:rsidR="00233847">
        <w:t xml:space="preserve"> </w:t>
      </w:r>
      <w:r w:rsidR="00233847">
        <w:lastRenderedPageBreak/>
        <w:t>While</w:t>
      </w:r>
      <w:r w:rsidR="00B93CC1">
        <w:t xml:space="preserve"> all</w:t>
      </w:r>
      <w:r w:rsidR="00233847">
        <w:t xml:space="preserve"> these broad areas </w:t>
      </w:r>
      <w:r w:rsidR="00CA1D26">
        <w:t>deserve</w:t>
      </w:r>
      <w:r w:rsidR="00233847">
        <w:t xml:space="preserve"> </w:t>
      </w:r>
      <w:r w:rsidR="00B93CC1">
        <w:t>attention,</w:t>
      </w:r>
      <w:r w:rsidR="005A4B2B">
        <w:t xml:space="preserve"> </w:t>
      </w:r>
      <w:r w:rsidR="00543892">
        <w:t xml:space="preserve">for this lesson, </w:t>
      </w:r>
      <w:r w:rsidR="001774A5">
        <w:t xml:space="preserve">focus </w:t>
      </w:r>
      <w:r w:rsidR="00401724">
        <w:t>primarily</w:t>
      </w:r>
      <w:r w:rsidR="005B3297">
        <w:t xml:space="preserve"> on</w:t>
      </w:r>
      <w:r w:rsidR="00DC3555">
        <w:t xml:space="preserve"> </w:t>
      </w:r>
      <w:r w:rsidR="00A4691D">
        <w:t xml:space="preserve">the basic relationship between the owner and the contractor </w:t>
      </w:r>
      <w:r w:rsidR="0076401B">
        <w:t xml:space="preserve">and </w:t>
      </w:r>
      <w:r w:rsidR="005B3297">
        <w:t xml:space="preserve">on </w:t>
      </w:r>
      <w:r w:rsidR="00C8397D">
        <w:t xml:space="preserve">how A201 anticipates </w:t>
      </w:r>
      <w:r w:rsidR="008357AA">
        <w:t>the inevitability of changes in the work</w:t>
      </w:r>
      <w:r w:rsidR="009927F5">
        <w:t>.</w:t>
      </w:r>
      <w:r w:rsidR="002F1800">
        <w:t xml:space="preserve"> </w:t>
      </w:r>
      <w:r w:rsidR="009A2076">
        <w:t xml:space="preserve">Read Articles 2, 3 and 7, which </w:t>
      </w:r>
      <w:r w:rsidR="009E22F3">
        <w:t>concern</w:t>
      </w:r>
      <w:r w:rsidR="009A2076">
        <w:t xml:space="preserve"> these matters.</w:t>
      </w:r>
      <w:r w:rsidR="000E1807">
        <w:t xml:space="preserve"> </w:t>
      </w:r>
    </w:p>
    <w:p w14:paraId="249B000F" w14:textId="77777777" w:rsidR="00F42437" w:rsidRDefault="00F42437" w:rsidP="009B7686">
      <w:pPr>
        <w:ind w:firstLine="720"/>
      </w:pPr>
    </w:p>
    <w:p w14:paraId="55683252" w14:textId="0037FDB1" w:rsidR="00F42437" w:rsidRDefault="00FA0747" w:rsidP="009B7686">
      <w:pPr>
        <w:ind w:firstLine="720"/>
      </w:pPr>
      <w:r>
        <w:t xml:space="preserve">Article </w:t>
      </w:r>
      <w:r w:rsidR="009D5BAC">
        <w:t>2</w:t>
      </w:r>
      <w:r w:rsidR="00C27C5E">
        <w:t xml:space="preserve"> </w:t>
      </w:r>
      <w:r>
        <w:t xml:space="preserve">(Owner) </w:t>
      </w:r>
      <w:r w:rsidR="00C747F5">
        <w:t>describes in general terms</w:t>
      </w:r>
      <w:r w:rsidR="00401724">
        <w:t xml:space="preserve"> </w:t>
      </w:r>
      <w:r w:rsidR="00C747F5">
        <w:t xml:space="preserve">the owner’s role, and it </w:t>
      </w:r>
      <w:r>
        <w:t xml:space="preserve">lays out </w:t>
      </w:r>
      <w:r w:rsidR="00ED27E7">
        <w:t>key</w:t>
      </w:r>
      <w:r>
        <w:t xml:space="preserve"> responsibilities </w:t>
      </w:r>
      <w:r w:rsidR="008A7BF8">
        <w:t xml:space="preserve">and rights </w:t>
      </w:r>
      <w:r>
        <w:t>the owner</w:t>
      </w:r>
      <w:r w:rsidR="00465242">
        <w:t xml:space="preserve"> has</w:t>
      </w:r>
      <w:r>
        <w:t xml:space="preserve">. </w:t>
      </w:r>
      <w:r w:rsidR="00022797">
        <w:t xml:space="preserve">Subsection 2.1.2 </w:t>
      </w:r>
      <w:r w:rsidR="002A5630">
        <w:t>allows the contractor to require</w:t>
      </w:r>
      <w:r w:rsidR="003E3421">
        <w:t xml:space="preserve"> certain information that may be necessary under state </w:t>
      </w:r>
      <w:r w:rsidR="0012177E">
        <w:t xml:space="preserve">law to protect mechanic’s lien rights. These rights, which </w:t>
      </w:r>
      <w:r w:rsidR="00B37975">
        <w:t>should</w:t>
      </w:r>
      <w:r w:rsidR="0012177E">
        <w:t xml:space="preserve"> be more accurately described as construction lien rights, </w:t>
      </w:r>
      <w:r w:rsidR="00F16080">
        <w:t>provide payment security to those who perform construction work or provide construction service</w:t>
      </w:r>
      <w:r w:rsidR="00F97375">
        <w:t>s</w:t>
      </w:r>
      <w:r w:rsidR="00C06180">
        <w:t xml:space="preserve">. </w:t>
      </w:r>
      <w:r w:rsidR="000715E1">
        <w:t>Although c</w:t>
      </w:r>
      <w:r w:rsidR="00C06180">
        <w:t>onstruction lien law</w:t>
      </w:r>
      <w:r w:rsidR="000715E1">
        <w:t>s</w:t>
      </w:r>
      <w:r w:rsidR="00C06180">
        <w:t xml:space="preserve"> vary significantly from one jurisdiction to anoth</w:t>
      </w:r>
      <w:r w:rsidR="0095486E">
        <w:t xml:space="preserve">er, information a </w:t>
      </w:r>
      <w:r w:rsidR="00EB78DE">
        <w:t>primary builder</w:t>
      </w:r>
      <w:r w:rsidR="0095486E">
        <w:t xml:space="preserve"> may need to secure these rights for itself, subcontractors, and suppliers</w:t>
      </w:r>
      <w:r w:rsidR="00D53088">
        <w:t xml:space="preserve"> may include details about the</w:t>
      </w:r>
      <w:r w:rsidR="003C6ED2">
        <w:t xml:space="preserve"> </w:t>
      </w:r>
      <w:r w:rsidR="00A039F2">
        <w:t xml:space="preserve">project </w:t>
      </w:r>
      <w:r w:rsidR="003C6ED2">
        <w:t xml:space="preserve">owner, </w:t>
      </w:r>
      <w:r w:rsidR="005A407D">
        <w:t>a legally sufficient</w:t>
      </w:r>
      <w:r w:rsidR="00D53088">
        <w:t xml:space="preserve"> description of the land </w:t>
      </w:r>
      <w:r w:rsidR="003C6ED2">
        <w:t>where the project is located</w:t>
      </w:r>
      <w:r w:rsidR="00345831">
        <w:t>,</w:t>
      </w:r>
      <w:r w:rsidR="006C0BAF">
        <w:t xml:space="preserve"> </w:t>
      </w:r>
      <w:r w:rsidR="00A039F2">
        <w:t>information about</w:t>
      </w:r>
      <w:r w:rsidR="006C0BAF">
        <w:t xml:space="preserve"> the ownership of that land</w:t>
      </w:r>
      <w:r w:rsidR="00247067">
        <w:t xml:space="preserve">, </w:t>
      </w:r>
      <w:r w:rsidR="00E7716C">
        <w:t xml:space="preserve">and </w:t>
      </w:r>
      <w:r w:rsidR="00C240CC">
        <w:t xml:space="preserve">whether </w:t>
      </w:r>
      <w:r w:rsidR="006C0BAF">
        <w:t xml:space="preserve">mortgages and other liens </w:t>
      </w:r>
      <w:r w:rsidR="00EB78DE">
        <w:t>affect title to</w:t>
      </w:r>
      <w:r w:rsidR="000E2090">
        <w:t xml:space="preserve"> the land.</w:t>
      </w:r>
      <w:r w:rsidR="0012177E">
        <w:t xml:space="preserve"> </w:t>
      </w:r>
      <w:r w:rsidR="008474D1">
        <w:t xml:space="preserve">Section 2.2 </w:t>
      </w:r>
      <w:r w:rsidR="00FF5B6A">
        <w:t xml:space="preserve">allows the contractor to </w:t>
      </w:r>
      <w:r w:rsidR="003A54ED">
        <w:t>require</w:t>
      </w:r>
      <w:r w:rsidR="00022797">
        <w:t xml:space="preserve"> evide</w:t>
      </w:r>
      <w:r w:rsidR="00041C94">
        <w:t>nce</w:t>
      </w:r>
      <w:r w:rsidR="003A54ED">
        <w:t xml:space="preserve"> that</w:t>
      </w:r>
      <w:r w:rsidR="00041C94">
        <w:t xml:space="preserve"> the owner has sufficient funding to pay for the project</w:t>
      </w:r>
      <w:r w:rsidR="004A7D70">
        <w:t xml:space="preserve"> before the contractor begins construction,</w:t>
      </w:r>
      <w:r w:rsidR="00BE5A3F">
        <w:t xml:space="preserve"> and</w:t>
      </w:r>
      <w:r w:rsidR="004A7D70">
        <w:t xml:space="preserve"> it</w:t>
      </w:r>
      <w:r w:rsidR="00BE5A3F">
        <w:t xml:space="preserve"> also gives the contractor limited rights</w:t>
      </w:r>
      <w:r w:rsidR="00DD0231">
        <w:t xml:space="preserve"> during the</w:t>
      </w:r>
      <w:r w:rsidR="00FF1FE2">
        <w:t xml:space="preserve"> construction process</w:t>
      </w:r>
      <w:r w:rsidR="00BE5A3F">
        <w:t xml:space="preserve"> to require</w:t>
      </w:r>
      <w:r w:rsidR="00FF1FE2">
        <w:t xml:space="preserve"> supplemental information about the owner’s financial arrangements</w:t>
      </w:r>
      <w:r w:rsidR="00041C94">
        <w:t xml:space="preserve">. </w:t>
      </w:r>
      <w:r w:rsidR="00B52805">
        <w:t xml:space="preserve">Sections 2.4 and 2.5 </w:t>
      </w:r>
      <w:r w:rsidR="00B64FC0">
        <w:t>authorize the owner to suspend the work</w:t>
      </w:r>
      <w:r w:rsidR="004C6AAE">
        <w:t xml:space="preserve"> or to take over construction </w:t>
      </w:r>
      <w:r w:rsidR="008A7BF8">
        <w:t xml:space="preserve">in certain instances </w:t>
      </w:r>
      <w:r w:rsidR="009461EA">
        <w:t xml:space="preserve">of </w:t>
      </w:r>
      <w:r w:rsidR="00893612">
        <w:t>contractor defaults</w:t>
      </w:r>
      <w:r w:rsidR="008A7BF8">
        <w:t xml:space="preserve">. </w:t>
      </w:r>
      <w:r w:rsidR="000C6623">
        <w:t>Another feature worth noting is that Article 2 reinforces the</w:t>
      </w:r>
      <w:r w:rsidR="00E066BB">
        <w:t xml:space="preserve"> central role the owner’s architect plays in the AIA approach.</w:t>
      </w:r>
    </w:p>
    <w:p w14:paraId="5A8C6B5E" w14:textId="77777777" w:rsidR="009927F5" w:rsidRDefault="009927F5" w:rsidP="009B7686">
      <w:pPr>
        <w:ind w:firstLine="720"/>
      </w:pPr>
    </w:p>
    <w:p w14:paraId="0C108D72" w14:textId="57712FDB" w:rsidR="009927F5" w:rsidRDefault="004B1204" w:rsidP="009B7686">
      <w:pPr>
        <w:ind w:firstLine="720"/>
      </w:pPr>
      <w:r>
        <w:t>Article 3</w:t>
      </w:r>
      <w:r w:rsidR="00194D58">
        <w:t xml:space="preserve"> (Contractor) </w:t>
      </w:r>
      <w:r w:rsidR="001D054B">
        <w:t>completes the basic outline of the</w:t>
      </w:r>
      <w:r w:rsidR="00C62913">
        <w:t xml:space="preserve"> </w:t>
      </w:r>
      <w:r w:rsidR="001D054B">
        <w:t>relationship.</w:t>
      </w:r>
      <w:r w:rsidR="00333341">
        <w:t xml:space="preserve"> </w:t>
      </w:r>
      <w:r w:rsidR="0094153F">
        <w:t>In contrast to Article 2</w:t>
      </w:r>
      <w:r w:rsidR="00297358">
        <w:t>’s concise</w:t>
      </w:r>
      <w:r w:rsidR="001776C7">
        <w:t xml:space="preserve"> </w:t>
      </w:r>
      <w:r w:rsidR="00297358">
        <w:t>description of</w:t>
      </w:r>
      <w:r w:rsidR="001E7887">
        <w:t xml:space="preserve"> the owner’s role, </w:t>
      </w:r>
      <w:r w:rsidR="00305384">
        <w:t>Article 3</w:t>
      </w:r>
      <w:r w:rsidR="004A59F7">
        <w:t xml:space="preserve"> delineates </w:t>
      </w:r>
      <w:r w:rsidR="000C4781">
        <w:t>the contractor</w:t>
      </w:r>
      <w:r w:rsidR="00596F85">
        <w:t>’s</w:t>
      </w:r>
      <w:r w:rsidR="000C4781">
        <w:t xml:space="preserve"> role </w:t>
      </w:r>
      <w:r w:rsidR="004A59F7">
        <w:t>more comprehensively</w:t>
      </w:r>
      <w:r w:rsidR="000B762C">
        <w:t xml:space="preserve">. </w:t>
      </w:r>
      <w:r w:rsidR="00CF289D">
        <w:t>Th</w:t>
      </w:r>
      <w:r w:rsidR="00184A75">
        <w:t>is</w:t>
      </w:r>
      <w:r w:rsidR="00CF289D">
        <w:t xml:space="preserve"> </w:t>
      </w:r>
      <w:r w:rsidR="00184A75">
        <w:t>difference</w:t>
      </w:r>
      <w:r w:rsidR="00CF289D">
        <w:t xml:space="preserve"> makes sense</w:t>
      </w:r>
      <w:r w:rsidR="00813374">
        <w:t xml:space="preserve"> because</w:t>
      </w:r>
      <w:r w:rsidR="00F501BB">
        <w:t xml:space="preserve"> A201 contemplates a project </w:t>
      </w:r>
      <w:r w:rsidR="00B52A22">
        <w:t>for</w:t>
      </w:r>
      <w:r w:rsidR="00F501BB">
        <w:t xml:space="preserve"> which a </w:t>
      </w:r>
      <w:r w:rsidR="00334163">
        <w:t>primary builder</w:t>
      </w:r>
      <w:r w:rsidR="00F501BB">
        <w:t xml:space="preserve"> </w:t>
      </w:r>
      <w:r w:rsidR="00013E03">
        <w:t xml:space="preserve">assumes </w:t>
      </w:r>
      <w:r w:rsidR="008B5D6F">
        <w:t xml:space="preserve">the dominant </w:t>
      </w:r>
      <w:r w:rsidR="00400D44">
        <w:t>responsibility</w:t>
      </w:r>
      <w:r w:rsidR="00E20CBF">
        <w:t>.</w:t>
      </w:r>
      <w:r w:rsidR="001D054B">
        <w:t xml:space="preserve"> </w:t>
      </w:r>
      <w:r w:rsidR="001F5065">
        <w:t xml:space="preserve">Note that </w:t>
      </w:r>
      <w:r w:rsidR="00EF29BF">
        <w:t xml:space="preserve">Section 3.2 </w:t>
      </w:r>
      <w:r w:rsidR="00322E68">
        <w:t>requires</w:t>
      </w:r>
      <w:r w:rsidR="0023136A">
        <w:t xml:space="preserve"> the contractor </w:t>
      </w:r>
      <w:r w:rsidR="00A64896">
        <w:t>to</w:t>
      </w:r>
      <w:r w:rsidR="00AD4982">
        <w:t xml:space="preserve"> review plans</w:t>
      </w:r>
      <w:r w:rsidR="00416977">
        <w:t>,</w:t>
      </w:r>
      <w:r w:rsidR="00AD4982">
        <w:t xml:space="preserve"> specifications and other </w:t>
      </w:r>
      <w:r w:rsidR="00416977">
        <w:t>information the owner provides</w:t>
      </w:r>
      <w:r w:rsidR="00AD4982">
        <w:t>, become generally familiar with the project site</w:t>
      </w:r>
      <w:r w:rsidR="00CF0682">
        <w:t xml:space="preserve">, </w:t>
      </w:r>
      <w:r w:rsidR="00DC7621">
        <w:t>independently investigate other details relating to the work</w:t>
      </w:r>
      <w:r w:rsidR="00F6135B">
        <w:t>,</w:t>
      </w:r>
      <w:r w:rsidR="00DC7621">
        <w:t xml:space="preserve"> </w:t>
      </w:r>
      <w:r w:rsidR="00CF0682">
        <w:t xml:space="preserve">and report </w:t>
      </w:r>
      <w:r w:rsidR="00F6135B">
        <w:t xml:space="preserve">any apparent discrepancies or other problems </w:t>
      </w:r>
      <w:r w:rsidR="00B36E26">
        <w:t>to the architect</w:t>
      </w:r>
      <w:r w:rsidR="005A134D">
        <w:t xml:space="preserve">. </w:t>
      </w:r>
      <w:r w:rsidR="008013F8">
        <w:t xml:space="preserve">Returning momentarily to </w:t>
      </w:r>
      <w:r w:rsidR="00DE74D7">
        <w:t xml:space="preserve">an earlier theme, </w:t>
      </w:r>
      <w:r w:rsidR="00C11E12">
        <w:t xml:space="preserve">you should </w:t>
      </w:r>
      <w:r w:rsidR="00460488">
        <w:t>see</w:t>
      </w:r>
      <w:r w:rsidR="00DE74D7">
        <w:t xml:space="preserve"> that </w:t>
      </w:r>
      <w:r w:rsidR="00E3713C">
        <w:t>s</w:t>
      </w:r>
      <w:r w:rsidR="000939F5">
        <w:t>ubsection 3.2.4</w:t>
      </w:r>
      <w:r w:rsidR="00665D7B">
        <w:t xml:space="preserve"> implicitly confirms that</w:t>
      </w:r>
      <w:r w:rsidR="00486085">
        <w:t xml:space="preserve"> </w:t>
      </w:r>
      <w:r w:rsidR="00E3713C">
        <w:t xml:space="preserve">these </w:t>
      </w:r>
      <w:r w:rsidR="00017B4B">
        <w:t xml:space="preserve">duties do not override the </w:t>
      </w:r>
      <w:r w:rsidR="006D5B9F">
        <w:t xml:space="preserve">owner’s </w:t>
      </w:r>
      <w:proofErr w:type="spellStart"/>
      <w:r w:rsidR="006D5B9F">
        <w:t>Spearin</w:t>
      </w:r>
      <w:proofErr w:type="spellEnd"/>
      <w:r w:rsidR="006D5B9F">
        <w:t xml:space="preserve"> warranty.</w:t>
      </w:r>
      <w:r w:rsidR="00486085">
        <w:t xml:space="preserve"> </w:t>
      </w:r>
      <w:r w:rsidR="005D267B">
        <w:t xml:space="preserve">From both </w:t>
      </w:r>
      <w:r w:rsidR="0027351C">
        <w:t>parties’</w:t>
      </w:r>
      <w:r w:rsidR="005D267B">
        <w:t xml:space="preserve"> perspective</w:t>
      </w:r>
      <w:r w:rsidR="001C127C">
        <w:t>s</w:t>
      </w:r>
      <w:r w:rsidR="005D267B">
        <w:t xml:space="preserve">, </w:t>
      </w:r>
      <w:r w:rsidR="00E8155A">
        <w:t xml:space="preserve">three other provisions of Article 3 are fundamental: </w:t>
      </w:r>
      <w:r w:rsidR="005D267B">
        <w:t>s</w:t>
      </w:r>
      <w:r w:rsidR="008013EE">
        <w:t>ection 3.5</w:t>
      </w:r>
      <w:r w:rsidR="001C00C7">
        <w:t xml:space="preserve"> (Warranty)</w:t>
      </w:r>
      <w:r w:rsidR="00DF319F">
        <w:t>,</w:t>
      </w:r>
      <w:r w:rsidR="00F934F7">
        <w:t xml:space="preserve"> </w:t>
      </w:r>
      <w:r w:rsidR="00DF319F">
        <w:t xml:space="preserve">subsection 3.7.4 (Concealed or Unknown Conditions), </w:t>
      </w:r>
      <w:r w:rsidR="007A223D">
        <w:t>and section 3.18</w:t>
      </w:r>
      <w:r w:rsidR="001C00C7">
        <w:t xml:space="preserve"> (</w:t>
      </w:r>
      <w:r w:rsidR="000B3C42">
        <w:t>I</w:t>
      </w:r>
      <w:r w:rsidR="007A223D">
        <w:t>ndemnification</w:t>
      </w:r>
      <w:r w:rsidR="000B3C42">
        <w:t>)</w:t>
      </w:r>
      <w:r w:rsidR="000D12AD">
        <w:t xml:space="preserve">. </w:t>
      </w:r>
      <w:r w:rsidR="004B6582">
        <w:t xml:space="preserve">Note that </w:t>
      </w:r>
      <w:r w:rsidR="00C66371">
        <w:t xml:space="preserve">Article 3, even more than Article 2, </w:t>
      </w:r>
      <w:r w:rsidR="00A81E5E">
        <w:t>emphasizes the central role the owner’s architect plays under the AIA approach.</w:t>
      </w:r>
    </w:p>
    <w:p w14:paraId="7DB5A113" w14:textId="77777777" w:rsidR="00DE5702" w:rsidRDefault="00DE5702" w:rsidP="009B7686">
      <w:pPr>
        <w:ind w:firstLine="720"/>
      </w:pPr>
    </w:p>
    <w:p w14:paraId="323C75AE" w14:textId="19C08681" w:rsidR="00DE5702" w:rsidRDefault="005E2653" w:rsidP="009B7686">
      <w:pPr>
        <w:ind w:firstLine="720"/>
      </w:pPr>
      <w:r>
        <w:t>Article 7</w:t>
      </w:r>
      <w:r w:rsidR="00576229">
        <w:t xml:space="preserve"> (Changes in the Work) provides both procedural and substantive </w:t>
      </w:r>
      <w:r w:rsidR="003063A5">
        <w:t xml:space="preserve">rules for </w:t>
      </w:r>
      <w:r w:rsidR="00552481">
        <w:t xml:space="preserve">managing </w:t>
      </w:r>
      <w:r w:rsidR="00455917">
        <w:t xml:space="preserve">a category of </w:t>
      </w:r>
      <w:r w:rsidR="00552481">
        <w:t xml:space="preserve">risks </w:t>
      </w:r>
      <w:r w:rsidR="00B901C9">
        <w:t>common to</w:t>
      </w:r>
      <w:r w:rsidR="00455917">
        <w:t xml:space="preserve"> </w:t>
      </w:r>
      <w:r w:rsidR="00B901C9">
        <w:t>nearly every</w:t>
      </w:r>
      <w:r w:rsidR="000955F4">
        <w:t xml:space="preserve"> construction </w:t>
      </w:r>
      <w:r w:rsidR="00B901C9">
        <w:t>project</w:t>
      </w:r>
      <w:r w:rsidR="00081E9E">
        <w:t xml:space="preserve">—the potential </w:t>
      </w:r>
      <w:r w:rsidR="005F6DC9">
        <w:t xml:space="preserve">that </w:t>
      </w:r>
      <w:r w:rsidR="00081E9E">
        <w:t xml:space="preserve">circumstances will arise </w:t>
      </w:r>
      <w:r w:rsidR="002D75E4">
        <w:t>mak</w:t>
      </w:r>
      <w:r w:rsidR="005F6DC9">
        <w:t>ing</w:t>
      </w:r>
      <w:r w:rsidR="002D75E4">
        <w:t xml:space="preserve"> changes to the work either desirable or necessary</w:t>
      </w:r>
      <w:r w:rsidR="005A6519">
        <w:t xml:space="preserve">. </w:t>
      </w:r>
      <w:r w:rsidR="00E21F44">
        <w:t>Section 7.2 provides for changes</w:t>
      </w:r>
      <w:r w:rsidR="00A840CD">
        <w:t xml:space="preserve"> that the parties negotiate and that they</w:t>
      </w:r>
      <w:r w:rsidR="00E21F44">
        <w:t xml:space="preserve"> document</w:t>
      </w:r>
      <w:r w:rsidR="00A840CD">
        <w:t xml:space="preserve"> </w:t>
      </w:r>
      <w:r w:rsidR="00E21F44">
        <w:t>by contract amendments (change orders)</w:t>
      </w:r>
      <w:r w:rsidR="00A840CD">
        <w:t xml:space="preserve"> specifying the change and any </w:t>
      </w:r>
      <w:r w:rsidR="008D19E0">
        <w:t xml:space="preserve">associated adjustments to the price and schedule. </w:t>
      </w:r>
      <w:r w:rsidR="00C21BBD">
        <w:t xml:space="preserve">This provision is orderly, but hardly surprising because contracting parties are </w:t>
      </w:r>
      <w:r w:rsidR="00D1108A">
        <w:t>ordinarily free to modify their agreement</w:t>
      </w:r>
      <w:r w:rsidR="00063033">
        <w:t xml:space="preserve">. </w:t>
      </w:r>
      <w:r w:rsidR="008D19E0">
        <w:t>Section 7.3</w:t>
      </w:r>
      <w:r w:rsidR="00F16CC8">
        <w:t xml:space="preserve">, however, supersedes the contract law principle </w:t>
      </w:r>
      <w:r w:rsidR="006B68E7">
        <w:t>that normally</w:t>
      </w:r>
      <w:r w:rsidR="003123D8">
        <w:t xml:space="preserve"> requires</w:t>
      </w:r>
      <w:r w:rsidR="0017141A">
        <w:t xml:space="preserve"> mutual consent to modifications</w:t>
      </w:r>
      <w:r w:rsidR="00C8033E">
        <w:t>. It</w:t>
      </w:r>
      <w:r w:rsidR="008D19E0">
        <w:t xml:space="preserve"> allows the owner to require a change</w:t>
      </w:r>
      <w:r w:rsidR="00A14179">
        <w:t xml:space="preserve"> </w:t>
      </w:r>
      <w:r w:rsidR="000D70D1">
        <w:t xml:space="preserve">without securing the contractor’s agreement </w:t>
      </w:r>
      <w:r w:rsidR="00C8033E">
        <w:t>and without</w:t>
      </w:r>
      <w:r w:rsidR="000D70D1">
        <w:t xml:space="preserve"> documenting</w:t>
      </w:r>
      <w:r w:rsidR="00C8033E">
        <w:t xml:space="preserve"> in advance</w:t>
      </w:r>
      <w:r w:rsidR="000D70D1">
        <w:t xml:space="preserve"> the impact the change will have on the price or schedule. Although most construction contracts give the owner such a right, </w:t>
      </w:r>
      <w:r w:rsidR="001C53F8">
        <w:t xml:space="preserve">applicable procedures and restrictions vary throughout the industry. The AIA </w:t>
      </w:r>
      <w:r w:rsidR="001C53F8">
        <w:lastRenderedPageBreak/>
        <w:t>approach, designated</w:t>
      </w:r>
      <w:r w:rsidR="00E019F4">
        <w:t xml:space="preserve"> in </w:t>
      </w:r>
      <w:r w:rsidR="00DB4A98">
        <w:t>s</w:t>
      </w:r>
      <w:r w:rsidR="00E019F4">
        <w:t xml:space="preserve">ection </w:t>
      </w:r>
      <w:r w:rsidR="004666B1">
        <w:t xml:space="preserve">7.3 </w:t>
      </w:r>
      <w:r w:rsidR="001C53F8">
        <w:t>as a “Construction Change Directive</w:t>
      </w:r>
      <w:r w:rsidR="00662761">
        <w:t>,</w:t>
      </w:r>
      <w:r w:rsidR="001C53F8">
        <w:t>”</w:t>
      </w:r>
      <w:r w:rsidR="003313FF">
        <w:t xml:space="preserve"> contemplates alternative methods for </w:t>
      </w:r>
      <w:r w:rsidR="00660B13">
        <w:t xml:space="preserve">determining </w:t>
      </w:r>
      <w:r w:rsidR="00FE311A">
        <w:t>what</w:t>
      </w:r>
      <w:r w:rsidR="00660B13">
        <w:t xml:space="preserve"> impact such a unilateral change will have on </w:t>
      </w:r>
      <w:r w:rsidR="002049AF">
        <w:t xml:space="preserve">the price and </w:t>
      </w:r>
      <w:r w:rsidR="00FE311A">
        <w:t>schedule,</w:t>
      </w:r>
      <w:r w:rsidR="002049AF">
        <w:t xml:space="preserve"> and</w:t>
      </w:r>
      <w:r w:rsidR="00FE311A">
        <w:t xml:space="preserve"> it </w:t>
      </w:r>
      <w:r w:rsidR="002049AF">
        <w:t>ultimately vests</w:t>
      </w:r>
      <w:r w:rsidR="00FE311A">
        <w:t xml:space="preserve"> </w:t>
      </w:r>
      <w:r w:rsidR="002049AF">
        <w:t>the owner’s architect with significant authority over the entire process. Section</w:t>
      </w:r>
      <w:r w:rsidR="006477F7">
        <w:t xml:space="preserve"> 7.4</w:t>
      </w:r>
      <w:r w:rsidR="00144DAE">
        <w:t>, which</w:t>
      </w:r>
      <w:r w:rsidR="006477F7">
        <w:t xml:space="preserve"> authoriz</w:t>
      </w:r>
      <w:r w:rsidR="008A5481">
        <w:t>es</w:t>
      </w:r>
      <w:r w:rsidR="006477F7">
        <w:t xml:space="preserve"> the</w:t>
      </w:r>
      <w:r w:rsidR="00B92DEE">
        <w:t xml:space="preserve"> owner’s</w:t>
      </w:r>
      <w:r w:rsidR="006477F7">
        <w:t xml:space="preserve"> architect to </w:t>
      </w:r>
      <w:r w:rsidR="00B92DEE">
        <w:t>make</w:t>
      </w:r>
      <w:r w:rsidR="006477F7">
        <w:t xml:space="preserve"> “minor changes” </w:t>
      </w:r>
      <w:r w:rsidR="00B92DEE">
        <w:t>that have no impact on price or schedule</w:t>
      </w:r>
      <w:r w:rsidR="00144DAE">
        <w:t>, goes beyond what many other industry forms</w:t>
      </w:r>
      <w:r w:rsidR="00B44CF7">
        <w:t xml:space="preserve"> contemplate. </w:t>
      </w:r>
    </w:p>
    <w:p w14:paraId="3B4ECFDC" w14:textId="6BD534B7" w:rsidR="00EB7E80" w:rsidRDefault="00EB7E80" w:rsidP="009B7686">
      <w:pPr>
        <w:ind w:firstLine="720"/>
      </w:pPr>
    </w:p>
    <w:p w14:paraId="6F37DBD8" w14:textId="2366EA7E" w:rsidR="00EB7E80" w:rsidRDefault="00F22437" w:rsidP="009B7686">
      <w:pPr>
        <w:ind w:firstLine="720"/>
      </w:pPr>
      <w:r>
        <w:t>With th</w:t>
      </w:r>
      <w:r w:rsidR="0081106D">
        <w:t>ese brief introductory observations</w:t>
      </w:r>
      <w:r w:rsidR="00555EA3">
        <w:t xml:space="preserve"> about just a few key aspects of A201</w:t>
      </w:r>
      <w:r w:rsidR="0081106D">
        <w:t xml:space="preserve"> as background,</w:t>
      </w:r>
      <w:r w:rsidR="005E1700">
        <w:t xml:space="preserve"> </w:t>
      </w:r>
      <w:r w:rsidR="001747B5">
        <w:t xml:space="preserve">now </w:t>
      </w:r>
      <w:r w:rsidR="005E1700">
        <w:t>read</w:t>
      </w:r>
      <w:r w:rsidR="005E1700" w:rsidRPr="00F2305A">
        <w:t xml:space="preserve"> </w:t>
      </w:r>
      <w:r w:rsidR="005E1700" w:rsidRPr="00DF6F4C">
        <w:rPr>
          <w:i/>
          <w:iCs/>
        </w:rPr>
        <w:t>Anticipating and</w:t>
      </w:r>
      <w:r w:rsidR="005E1700" w:rsidRPr="00AC757C">
        <w:rPr>
          <w:u w:val="single"/>
        </w:rPr>
        <w:t xml:space="preserve"> </w:t>
      </w:r>
      <w:r w:rsidR="005E1700" w:rsidRPr="00693A65">
        <w:rPr>
          <w:i/>
          <w:iCs/>
        </w:rPr>
        <w:t>Allocating Risks in the 2017 AIA Owner-Contractor Agreement</w:t>
      </w:r>
      <w:r w:rsidR="005E1700" w:rsidRPr="00F2305A">
        <w:t xml:space="preserve">, </w:t>
      </w:r>
      <w:r w:rsidR="005E1700" w:rsidRPr="009C1918">
        <w:t>Constr. Law</w:t>
      </w:r>
      <w:r w:rsidR="005E1700" w:rsidRPr="00F2305A">
        <w:t>. Fall 2019, at 35</w:t>
      </w:r>
      <w:r w:rsidR="00693A65">
        <w:t xml:space="preserve">, by </w:t>
      </w:r>
      <w:r w:rsidR="00693A65" w:rsidRPr="00F2305A">
        <w:t>Neale T. Johnson</w:t>
      </w:r>
      <w:r w:rsidR="00693A65">
        <w:t xml:space="preserve"> &amp;</w:t>
      </w:r>
      <w:r w:rsidR="00693A65" w:rsidRPr="00F2305A">
        <w:t xml:space="preserve"> Kristen </w:t>
      </w:r>
      <w:proofErr w:type="spellStart"/>
      <w:r w:rsidR="00693A65" w:rsidRPr="00F2305A">
        <w:t>Rectenwald</w:t>
      </w:r>
      <w:proofErr w:type="spellEnd"/>
      <w:r w:rsidR="00693A65" w:rsidRPr="00F2305A">
        <w:t xml:space="preserve"> Wang</w:t>
      </w:r>
      <w:r w:rsidR="005E1700">
        <w:t xml:space="preserve">. </w:t>
      </w:r>
      <w:r w:rsidR="00E22769">
        <w:t>T</w:t>
      </w:r>
      <w:r w:rsidR="003C7323">
        <w:t xml:space="preserve">his article </w:t>
      </w:r>
      <w:r w:rsidR="007A00A8">
        <w:t xml:space="preserve">illustrates </w:t>
      </w:r>
      <w:r w:rsidR="00C55DE3">
        <w:t>how</w:t>
      </w:r>
      <w:r w:rsidR="007A00A8">
        <w:t xml:space="preserve"> experienced construction lawyers</w:t>
      </w:r>
      <w:r w:rsidR="00C55DE3">
        <w:t xml:space="preserve">, whether representing a project owner or the </w:t>
      </w:r>
      <w:r w:rsidR="00A46ACB">
        <w:t>primary builder</w:t>
      </w:r>
      <w:r w:rsidR="00C55DE3">
        <w:t>, may</w:t>
      </w:r>
      <w:r w:rsidR="00EC58A2">
        <w:t xml:space="preserve"> approach A101 and A201 based on their</w:t>
      </w:r>
      <w:r w:rsidR="005A2319">
        <w:t xml:space="preserve"> respective</w:t>
      </w:r>
      <w:r w:rsidR="00EC58A2">
        <w:t xml:space="preserve"> client’s </w:t>
      </w:r>
      <w:r w:rsidR="005A2319">
        <w:t>perspectives</w:t>
      </w:r>
      <w:r w:rsidR="00EC58A2">
        <w:t xml:space="preserve"> </w:t>
      </w:r>
      <w:r w:rsidR="005A2319">
        <w:t xml:space="preserve">and the </w:t>
      </w:r>
      <w:r w:rsidR="00EC58A2">
        <w:t>specific circumstances of the project</w:t>
      </w:r>
      <w:r w:rsidR="005A2319">
        <w:t xml:space="preserve">. </w:t>
      </w:r>
      <w:r w:rsidR="00833F42">
        <w:t xml:space="preserve">Read the article primarily </w:t>
      </w:r>
      <w:r w:rsidR="00CB44B3">
        <w:t xml:space="preserve">to </w:t>
      </w:r>
      <w:r w:rsidR="00034321">
        <w:t xml:space="preserve">develop a feel for </w:t>
      </w:r>
      <w:r w:rsidR="00183B9C">
        <w:t>the</w:t>
      </w:r>
      <w:r w:rsidR="00034321">
        <w:t xml:space="preserve"> lawyering skill</w:t>
      </w:r>
      <w:r w:rsidR="00183B9C">
        <w:t xml:space="preserve">s involved in reviewing and negotiating a complex construction contract. </w:t>
      </w:r>
      <w:r w:rsidR="00CA0246">
        <w:t xml:space="preserve">Later lessons will return to several of the most significant issues the </w:t>
      </w:r>
      <w:r w:rsidR="00F53EA0">
        <w:t xml:space="preserve">authors discuss, many of which are important </w:t>
      </w:r>
      <w:proofErr w:type="gramStart"/>
      <w:r w:rsidR="007039C6">
        <w:t>whether or not</w:t>
      </w:r>
      <w:proofErr w:type="gramEnd"/>
      <w:r w:rsidR="007039C6">
        <w:t xml:space="preserve"> the parties </w:t>
      </w:r>
      <w:r w:rsidR="001B6E96">
        <w:t>use</w:t>
      </w:r>
      <w:r w:rsidR="007039C6">
        <w:t xml:space="preserve"> AIA documents</w:t>
      </w:r>
      <w:r w:rsidR="00E77971">
        <w:t xml:space="preserve"> and no matter which </w:t>
      </w:r>
      <w:r w:rsidR="00FB4E43">
        <w:t>project delivery system they select.</w:t>
      </w:r>
    </w:p>
    <w:p w14:paraId="33B58C41" w14:textId="77777777" w:rsidR="00871D66" w:rsidRDefault="00871D66" w:rsidP="009B7686">
      <w:pPr>
        <w:ind w:firstLine="720"/>
      </w:pPr>
    </w:p>
    <w:p w14:paraId="638CE757" w14:textId="5CD09301" w:rsidR="00871D66" w:rsidRDefault="00DE3075" w:rsidP="00871D66">
      <w:r>
        <w:rPr>
          <w:u w:val="single"/>
        </w:rPr>
        <w:t>For Review and Discussion</w:t>
      </w:r>
    </w:p>
    <w:p w14:paraId="6773D7E9" w14:textId="77777777" w:rsidR="00DE3075" w:rsidRDefault="00DE3075" w:rsidP="00871D66"/>
    <w:p w14:paraId="40F1C827" w14:textId="79984C61" w:rsidR="00DE3075" w:rsidRDefault="00A2047D" w:rsidP="00DE3075">
      <w:pPr>
        <w:pStyle w:val="ListParagraph"/>
        <w:numPr>
          <w:ilvl w:val="0"/>
          <w:numId w:val="2"/>
        </w:numPr>
      </w:pPr>
      <w:r>
        <w:t xml:space="preserve">From what you have seen so far of AIA documents, </w:t>
      </w:r>
      <w:r w:rsidR="00A27514">
        <w:t>does the AIA approach</w:t>
      </w:r>
      <w:r w:rsidR="006729B8">
        <w:t xml:space="preserve"> seem to favor one project participant or perspective over others? </w:t>
      </w:r>
      <w:r w:rsidR="006E6313">
        <w:t xml:space="preserve">Identify two or three specific provisions </w:t>
      </w:r>
      <w:r w:rsidR="00511D74">
        <w:t>relevant to</w:t>
      </w:r>
      <w:r w:rsidR="006E6313">
        <w:t xml:space="preserve"> your</w:t>
      </w:r>
      <w:r w:rsidR="008738E1">
        <w:t xml:space="preserve"> response to this question.</w:t>
      </w:r>
    </w:p>
    <w:p w14:paraId="4C66CFDB" w14:textId="7AD8055C" w:rsidR="008738E1" w:rsidRDefault="00636B22" w:rsidP="00DE3075">
      <w:pPr>
        <w:pStyle w:val="ListParagraph"/>
        <w:numPr>
          <w:ilvl w:val="0"/>
          <w:numId w:val="2"/>
        </w:numPr>
      </w:pPr>
      <w:r>
        <w:t xml:space="preserve">The discussion above of </w:t>
      </w:r>
      <w:r w:rsidR="006C7CC6">
        <w:t xml:space="preserve">A201’s </w:t>
      </w:r>
      <w:r>
        <w:t>Article 3</w:t>
      </w:r>
      <w:r w:rsidR="006C7CC6">
        <w:t xml:space="preserve"> concludes that subsection 3.2.4 aligns well with the </w:t>
      </w:r>
      <w:proofErr w:type="spellStart"/>
      <w:r w:rsidR="006C7CC6">
        <w:t>Spearin</w:t>
      </w:r>
      <w:proofErr w:type="spellEnd"/>
      <w:r w:rsidR="006C7CC6">
        <w:t xml:space="preserve"> Doctrine. Do you agree? Why or why not? What changes might a</w:t>
      </w:r>
      <w:r w:rsidR="00C97E2E">
        <w:t>n owner</w:t>
      </w:r>
      <w:r w:rsidR="006C7CC6">
        <w:t xml:space="preserve"> make to Article 3 to </w:t>
      </w:r>
      <w:r w:rsidR="00C97E2E">
        <w:t xml:space="preserve">make the </w:t>
      </w:r>
      <w:proofErr w:type="spellStart"/>
      <w:r w:rsidR="00C97E2E">
        <w:t>Spearin</w:t>
      </w:r>
      <w:proofErr w:type="spellEnd"/>
      <w:r w:rsidR="00C97E2E">
        <w:t xml:space="preserve"> Doctrine inapplicable?</w:t>
      </w:r>
    </w:p>
    <w:p w14:paraId="3D6B74D2" w14:textId="44427F86" w:rsidR="00566DC8" w:rsidRDefault="00566DC8" w:rsidP="00DE3075">
      <w:pPr>
        <w:pStyle w:val="ListParagraph"/>
        <w:numPr>
          <w:ilvl w:val="0"/>
          <w:numId w:val="2"/>
        </w:numPr>
      </w:pPr>
      <w:r>
        <w:t xml:space="preserve">Identify one modification </w:t>
      </w:r>
      <w:r w:rsidR="00DF7144">
        <w:t xml:space="preserve">to A201 </w:t>
      </w:r>
      <w:r>
        <w:t>that Johnson &amp; Wang propose</w:t>
      </w:r>
      <w:r w:rsidR="00DF7144">
        <w:t xml:space="preserve"> that you might resist agreeing to when representing an owner and one modification they propose that you might resist when representing a builder. </w:t>
      </w:r>
      <w:r w:rsidR="00AE2684">
        <w:t>For each</w:t>
      </w:r>
      <w:r w:rsidR="005D4223">
        <w:t xml:space="preserve"> of the two</w:t>
      </w:r>
      <w:r w:rsidR="00AE2684">
        <w:t xml:space="preserve"> proposed modification</w:t>
      </w:r>
      <w:r w:rsidR="005D4223">
        <w:t>s you identify</w:t>
      </w:r>
      <w:r w:rsidR="00AE2684">
        <w:t>, e</w:t>
      </w:r>
      <w:r w:rsidR="00DF7144">
        <w:t xml:space="preserve">xplain </w:t>
      </w:r>
      <w:r w:rsidR="00AE2684">
        <w:t xml:space="preserve">why you </w:t>
      </w:r>
      <w:r w:rsidR="00A6626C">
        <w:t>might</w:t>
      </w:r>
      <w:r w:rsidR="00AE2684">
        <w:t xml:space="preserve"> resist</w:t>
      </w:r>
      <w:r w:rsidR="005D4223">
        <w:t xml:space="preserve"> making the suggested change</w:t>
      </w:r>
      <w:r w:rsidR="006C5453">
        <w:t>s</w:t>
      </w:r>
      <w:r w:rsidR="00DF7144">
        <w:t>.</w:t>
      </w:r>
    </w:p>
    <w:p w14:paraId="57B58DDA" w14:textId="2421286A" w:rsidR="00B55577" w:rsidRPr="00DE3075" w:rsidRDefault="00B55577" w:rsidP="00DE3075">
      <w:pPr>
        <w:pStyle w:val="ListParagraph"/>
        <w:numPr>
          <w:ilvl w:val="0"/>
          <w:numId w:val="2"/>
        </w:numPr>
      </w:pPr>
      <w:r>
        <w:t>Did you notice that</w:t>
      </w:r>
      <w:r w:rsidR="00B43BED">
        <w:t xml:space="preserve"> the topic of</w:t>
      </w:r>
      <w:r>
        <w:t xml:space="preserve"> Article 11 of A201</w:t>
      </w:r>
      <w:r w:rsidR="00B43BED">
        <w:t xml:space="preserve"> is “Insurance and Bonds?”</w:t>
      </w:r>
      <w:r w:rsidR="00064154">
        <w:t xml:space="preserve"> Why do you think the AIA </w:t>
      </w:r>
      <w:r w:rsidR="0067013E">
        <w:t xml:space="preserve">addresses these </w:t>
      </w:r>
      <w:r w:rsidR="000172A4">
        <w:t>two important subjects</w:t>
      </w:r>
      <w:r w:rsidR="00C67943">
        <w:t xml:space="preserve"> in three separate forms</w:t>
      </w:r>
      <w:r w:rsidR="00914DC6">
        <w:t xml:space="preserve"> used in connection with a design-bid-build project</w:t>
      </w:r>
      <w:r w:rsidR="00C67943">
        <w:t xml:space="preserve"> (A101, Exhibit A to A101, and A201)?</w:t>
      </w:r>
    </w:p>
    <w:p w14:paraId="705BA296" w14:textId="31E44F9B" w:rsidR="00C443E2" w:rsidRPr="006E7C17" w:rsidRDefault="00C443E2" w:rsidP="00C82558">
      <w:pPr>
        <w:spacing w:after="160" w:line="259" w:lineRule="auto"/>
      </w:pPr>
    </w:p>
    <w:sectPr w:rsidR="00C443E2" w:rsidRPr="006E7C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FE02" w14:textId="77777777" w:rsidR="008933E7" w:rsidRDefault="008933E7" w:rsidP="006E7C17">
      <w:r>
        <w:separator/>
      </w:r>
    </w:p>
  </w:endnote>
  <w:endnote w:type="continuationSeparator" w:id="0">
    <w:p w14:paraId="738627B3" w14:textId="77777777" w:rsidR="008933E7" w:rsidRDefault="008933E7" w:rsidP="006E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7C75" w14:textId="21B2A333" w:rsidR="006E7C17" w:rsidRDefault="006E7C17">
    <w:pPr>
      <w:pStyle w:val="Footer"/>
    </w:pPr>
    <w:r>
      <w:t xml:space="preserve">© Carl J. </w:t>
    </w:r>
    <w:proofErr w:type="spellStart"/>
    <w:r>
      <w:t>Circo</w:t>
    </w:r>
    <w:proofErr w:type="spellEnd"/>
    <w:r>
      <w:t xml:space="preserve"> 2024</w:t>
    </w:r>
    <w:r>
      <w:ptab w:relativeTo="margin" w:alignment="center" w:leader="none"/>
    </w:r>
    <w:r w:rsidR="00D8213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19E7" w14:textId="77777777" w:rsidR="008933E7" w:rsidRDefault="008933E7" w:rsidP="006E7C17">
      <w:r>
        <w:separator/>
      </w:r>
    </w:p>
  </w:footnote>
  <w:footnote w:type="continuationSeparator" w:id="0">
    <w:p w14:paraId="6ADC4A08" w14:textId="77777777" w:rsidR="008933E7" w:rsidRDefault="008933E7" w:rsidP="006E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6A51" w14:textId="71934E03" w:rsidR="006E7C17" w:rsidRDefault="006E7C17">
    <w:pPr>
      <w:pStyle w:val="Header"/>
    </w:pPr>
    <w:r>
      <w:t>Work-in-progress, September 2024</w:t>
    </w:r>
  </w:p>
  <w:p w14:paraId="44811085" w14:textId="77777777" w:rsidR="006E7C17" w:rsidRDefault="006E7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7D57"/>
    <w:multiLevelType w:val="hybridMultilevel"/>
    <w:tmpl w:val="6D946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858E5"/>
    <w:multiLevelType w:val="hybridMultilevel"/>
    <w:tmpl w:val="818EA9AE"/>
    <w:lvl w:ilvl="0" w:tplc="E1200E1E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77855">
    <w:abstractNumId w:val="1"/>
  </w:num>
  <w:num w:numId="2" w16cid:durableId="3113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17"/>
    <w:rsid w:val="000014A9"/>
    <w:rsid w:val="000032F1"/>
    <w:rsid w:val="0000344C"/>
    <w:rsid w:val="00005D9A"/>
    <w:rsid w:val="000105B3"/>
    <w:rsid w:val="00013E03"/>
    <w:rsid w:val="000172A4"/>
    <w:rsid w:val="00017B4B"/>
    <w:rsid w:val="0002057C"/>
    <w:rsid w:val="00020C26"/>
    <w:rsid w:val="00021C5C"/>
    <w:rsid w:val="00021DF7"/>
    <w:rsid w:val="00022797"/>
    <w:rsid w:val="00024959"/>
    <w:rsid w:val="00030372"/>
    <w:rsid w:val="0003075F"/>
    <w:rsid w:val="0003113E"/>
    <w:rsid w:val="00032567"/>
    <w:rsid w:val="00034321"/>
    <w:rsid w:val="000349FF"/>
    <w:rsid w:val="00036C94"/>
    <w:rsid w:val="000412FF"/>
    <w:rsid w:val="00041C94"/>
    <w:rsid w:val="000426F0"/>
    <w:rsid w:val="00042DDC"/>
    <w:rsid w:val="00045CC1"/>
    <w:rsid w:val="00047E44"/>
    <w:rsid w:val="00052995"/>
    <w:rsid w:val="00054DAB"/>
    <w:rsid w:val="000568FD"/>
    <w:rsid w:val="00056D91"/>
    <w:rsid w:val="00056FBC"/>
    <w:rsid w:val="00060506"/>
    <w:rsid w:val="000627D3"/>
    <w:rsid w:val="00062ADC"/>
    <w:rsid w:val="00063033"/>
    <w:rsid w:val="00063BD1"/>
    <w:rsid w:val="00064154"/>
    <w:rsid w:val="00065395"/>
    <w:rsid w:val="00067B89"/>
    <w:rsid w:val="0007113B"/>
    <w:rsid w:val="000715E1"/>
    <w:rsid w:val="00081E9E"/>
    <w:rsid w:val="000837B8"/>
    <w:rsid w:val="00085507"/>
    <w:rsid w:val="0008661C"/>
    <w:rsid w:val="00087A13"/>
    <w:rsid w:val="00090208"/>
    <w:rsid w:val="00091EF5"/>
    <w:rsid w:val="00091FB1"/>
    <w:rsid w:val="00093809"/>
    <w:rsid w:val="000939F5"/>
    <w:rsid w:val="00093D61"/>
    <w:rsid w:val="000955F4"/>
    <w:rsid w:val="000970F7"/>
    <w:rsid w:val="000A3EC9"/>
    <w:rsid w:val="000A46CE"/>
    <w:rsid w:val="000B3C42"/>
    <w:rsid w:val="000B4447"/>
    <w:rsid w:val="000B4E0F"/>
    <w:rsid w:val="000B5ED4"/>
    <w:rsid w:val="000B66F4"/>
    <w:rsid w:val="000B762C"/>
    <w:rsid w:val="000C4781"/>
    <w:rsid w:val="000C6623"/>
    <w:rsid w:val="000C664A"/>
    <w:rsid w:val="000C7297"/>
    <w:rsid w:val="000D12AD"/>
    <w:rsid w:val="000D24A3"/>
    <w:rsid w:val="000D28DD"/>
    <w:rsid w:val="000D3943"/>
    <w:rsid w:val="000D3948"/>
    <w:rsid w:val="000D6238"/>
    <w:rsid w:val="000D70D1"/>
    <w:rsid w:val="000E1807"/>
    <w:rsid w:val="000E2090"/>
    <w:rsid w:val="000E2457"/>
    <w:rsid w:val="000E3966"/>
    <w:rsid w:val="000E4B86"/>
    <w:rsid w:val="000E4D45"/>
    <w:rsid w:val="000E5A5B"/>
    <w:rsid w:val="000F0660"/>
    <w:rsid w:val="000F3B60"/>
    <w:rsid w:val="000F4633"/>
    <w:rsid w:val="00100B70"/>
    <w:rsid w:val="00102E3C"/>
    <w:rsid w:val="00103355"/>
    <w:rsid w:val="00112E63"/>
    <w:rsid w:val="00117ACD"/>
    <w:rsid w:val="001207EF"/>
    <w:rsid w:val="0012177E"/>
    <w:rsid w:val="00121AC2"/>
    <w:rsid w:val="00121FEA"/>
    <w:rsid w:val="00123DC8"/>
    <w:rsid w:val="00124750"/>
    <w:rsid w:val="00125B40"/>
    <w:rsid w:val="00125BA1"/>
    <w:rsid w:val="0012671F"/>
    <w:rsid w:val="001316BC"/>
    <w:rsid w:val="001334F8"/>
    <w:rsid w:val="001335CD"/>
    <w:rsid w:val="001400EE"/>
    <w:rsid w:val="001408AD"/>
    <w:rsid w:val="001420FF"/>
    <w:rsid w:val="00144DAE"/>
    <w:rsid w:val="00145169"/>
    <w:rsid w:val="001455CC"/>
    <w:rsid w:val="00146790"/>
    <w:rsid w:val="001469B6"/>
    <w:rsid w:val="00152DB5"/>
    <w:rsid w:val="00157FD1"/>
    <w:rsid w:val="001608EC"/>
    <w:rsid w:val="0016203C"/>
    <w:rsid w:val="001622FD"/>
    <w:rsid w:val="00162479"/>
    <w:rsid w:val="00166A65"/>
    <w:rsid w:val="0017141A"/>
    <w:rsid w:val="00171FC3"/>
    <w:rsid w:val="001747B5"/>
    <w:rsid w:val="00176DE3"/>
    <w:rsid w:val="001774A5"/>
    <w:rsid w:val="001776C7"/>
    <w:rsid w:val="00183B9C"/>
    <w:rsid w:val="0018427A"/>
    <w:rsid w:val="00184A75"/>
    <w:rsid w:val="0018732D"/>
    <w:rsid w:val="001919A8"/>
    <w:rsid w:val="00193F9D"/>
    <w:rsid w:val="00194D58"/>
    <w:rsid w:val="001A06D4"/>
    <w:rsid w:val="001A35C4"/>
    <w:rsid w:val="001A3843"/>
    <w:rsid w:val="001A54A0"/>
    <w:rsid w:val="001B161A"/>
    <w:rsid w:val="001B1B20"/>
    <w:rsid w:val="001B254D"/>
    <w:rsid w:val="001B2987"/>
    <w:rsid w:val="001B6960"/>
    <w:rsid w:val="001B6E96"/>
    <w:rsid w:val="001C00C7"/>
    <w:rsid w:val="001C0CCB"/>
    <w:rsid w:val="001C127C"/>
    <w:rsid w:val="001C1A20"/>
    <w:rsid w:val="001C382A"/>
    <w:rsid w:val="001C53F8"/>
    <w:rsid w:val="001D054B"/>
    <w:rsid w:val="001D1A18"/>
    <w:rsid w:val="001D7937"/>
    <w:rsid w:val="001E7887"/>
    <w:rsid w:val="001F3B6F"/>
    <w:rsid w:val="001F4931"/>
    <w:rsid w:val="001F5065"/>
    <w:rsid w:val="001F6467"/>
    <w:rsid w:val="002049AF"/>
    <w:rsid w:val="00211BB7"/>
    <w:rsid w:val="0022073B"/>
    <w:rsid w:val="00221849"/>
    <w:rsid w:val="00224868"/>
    <w:rsid w:val="00227346"/>
    <w:rsid w:val="0023136A"/>
    <w:rsid w:val="00233847"/>
    <w:rsid w:val="00236E26"/>
    <w:rsid w:val="002456B1"/>
    <w:rsid w:val="002460BC"/>
    <w:rsid w:val="00247067"/>
    <w:rsid w:val="002557A8"/>
    <w:rsid w:val="00255B21"/>
    <w:rsid w:val="00255DE2"/>
    <w:rsid w:val="00256335"/>
    <w:rsid w:val="00256417"/>
    <w:rsid w:val="00260A9A"/>
    <w:rsid w:val="0026199F"/>
    <w:rsid w:val="0026403A"/>
    <w:rsid w:val="00265233"/>
    <w:rsid w:val="00265879"/>
    <w:rsid w:val="00265CD9"/>
    <w:rsid w:val="0026652F"/>
    <w:rsid w:val="002667AD"/>
    <w:rsid w:val="0026741B"/>
    <w:rsid w:val="00270763"/>
    <w:rsid w:val="00271A10"/>
    <w:rsid w:val="0027326C"/>
    <w:rsid w:val="0027351C"/>
    <w:rsid w:val="0027512F"/>
    <w:rsid w:val="00277C8B"/>
    <w:rsid w:val="002811EF"/>
    <w:rsid w:val="00286ADF"/>
    <w:rsid w:val="002926D3"/>
    <w:rsid w:val="00297358"/>
    <w:rsid w:val="002A0BC0"/>
    <w:rsid w:val="002A0BD9"/>
    <w:rsid w:val="002A3285"/>
    <w:rsid w:val="002A35E4"/>
    <w:rsid w:val="002A3D9B"/>
    <w:rsid w:val="002A426C"/>
    <w:rsid w:val="002A5036"/>
    <w:rsid w:val="002A5278"/>
    <w:rsid w:val="002A53C9"/>
    <w:rsid w:val="002A5630"/>
    <w:rsid w:val="002A5662"/>
    <w:rsid w:val="002A66A7"/>
    <w:rsid w:val="002A7062"/>
    <w:rsid w:val="002A7EEB"/>
    <w:rsid w:val="002B071E"/>
    <w:rsid w:val="002B0B6C"/>
    <w:rsid w:val="002B1868"/>
    <w:rsid w:val="002B250E"/>
    <w:rsid w:val="002B3CC2"/>
    <w:rsid w:val="002B7890"/>
    <w:rsid w:val="002C0642"/>
    <w:rsid w:val="002C6584"/>
    <w:rsid w:val="002D050B"/>
    <w:rsid w:val="002D0DB4"/>
    <w:rsid w:val="002D75E4"/>
    <w:rsid w:val="002E2E41"/>
    <w:rsid w:val="002E4748"/>
    <w:rsid w:val="002F1800"/>
    <w:rsid w:val="002F1D9E"/>
    <w:rsid w:val="002F23F7"/>
    <w:rsid w:val="002F3B8C"/>
    <w:rsid w:val="002F56E9"/>
    <w:rsid w:val="002F5BD9"/>
    <w:rsid w:val="002F741E"/>
    <w:rsid w:val="00303F3D"/>
    <w:rsid w:val="00305384"/>
    <w:rsid w:val="00305BA4"/>
    <w:rsid w:val="00306270"/>
    <w:rsid w:val="003063A5"/>
    <w:rsid w:val="00311002"/>
    <w:rsid w:val="00311FF3"/>
    <w:rsid w:val="003123D8"/>
    <w:rsid w:val="003139CA"/>
    <w:rsid w:val="00317911"/>
    <w:rsid w:val="00320A6C"/>
    <w:rsid w:val="00321AE2"/>
    <w:rsid w:val="00322151"/>
    <w:rsid w:val="00322E68"/>
    <w:rsid w:val="00324DD4"/>
    <w:rsid w:val="00326576"/>
    <w:rsid w:val="00327A4F"/>
    <w:rsid w:val="00327E4B"/>
    <w:rsid w:val="00330BDF"/>
    <w:rsid w:val="003313FF"/>
    <w:rsid w:val="003324C2"/>
    <w:rsid w:val="00333341"/>
    <w:rsid w:val="00334163"/>
    <w:rsid w:val="0033522F"/>
    <w:rsid w:val="0034061C"/>
    <w:rsid w:val="00345831"/>
    <w:rsid w:val="003517EE"/>
    <w:rsid w:val="00353E49"/>
    <w:rsid w:val="00355BB2"/>
    <w:rsid w:val="003644B4"/>
    <w:rsid w:val="00364DAC"/>
    <w:rsid w:val="00365287"/>
    <w:rsid w:val="0036535A"/>
    <w:rsid w:val="003715D1"/>
    <w:rsid w:val="00372B2E"/>
    <w:rsid w:val="003736EA"/>
    <w:rsid w:val="0037378F"/>
    <w:rsid w:val="00376F33"/>
    <w:rsid w:val="0038212B"/>
    <w:rsid w:val="003830B0"/>
    <w:rsid w:val="00384ED6"/>
    <w:rsid w:val="00385BFD"/>
    <w:rsid w:val="00392588"/>
    <w:rsid w:val="00394611"/>
    <w:rsid w:val="00396214"/>
    <w:rsid w:val="00396D7D"/>
    <w:rsid w:val="003A3403"/>
    <w:rsid w:val="003A54ED"/>
    <w:rsid w:val="003A5D0B"/>
    <w:rsid w:val="003A6E9D"/>
    <w:rsid w:val="003B2730"/>
    <w:rsid w:val="003B2B1E"/>
    <w:rsid w:val="003B57D6"/>
    <w:rsid w:val="003B72A0"/>
    <w:rsid w:val="003C2952"/>
    <w:rsid w:val="003C4519"/>
    <w:rsid w:val="003C4BC0"/>
    <w:rsid w:val="003C5B9C"/>
    <w:rsid w:val="003C6ED2"/>
    <w:rsid w:val="003C7323"/>
    <w:rsid w:val="003D0158"/>
    <w:rsid w:val="003D1533"/>
    <w:rsid w:val="003D1C5F"/>
    <w:rsid w:val="003D1DD0"/>
    <w:rsid w:val="003D364F"/>
    <w:rsid w:val="003D4691"/>
    <w:rsid w:val="003D46E8"/>
    <w:rsid w:val="003D4A38"/>
    <w:rsid w:val="003D5B1F"/>
    <w:rsid w:val="003D70C5"/>
    <w:rsid w:val="003E0701"/>
    <w:rsid w:val="003E3421"/>
    <w:rsid w:val="003E495F"/>
    <w:rsid w:val="003E788A"/>
    <w:rsid w:val="003F1D48"/>
    <w:rsid w:val="003F2547"/>
    <w:rsid w:val="003F49B9"/>
    <w:rsid w:val="00400D44"/>
    <w:rsid w:val="00401724"/>
    <w:rsid w:val="00401FB9"/>
    <w:rsid w:val="00402637"/>
    <w:rsid w:val="00404214"/>
    <w:rsid w:val="00405692"/>
    <w:rsid w:val="00405EA6"/>
    <w:rsid w:val="004070D1"/>
    <w:rsid w:val="00407F50"/>
    <w:rsid w:val="0041007E"/>
    <w:rsid w:val="00410AEF"/>
    <w:rsid w:val="00411FCA"/>
    <w:rsid w:val="00416977"/>
    <w:rsid w:val="00423200"/>
    <w:rsid w:val="00425BDB"/>
    <w:rsid w:val="00431314"/>
    <w:rsid w:val="004344F4"/>
    <w:rsid w:val="004359B8"/>
    <w:rsid w:val="00435A0E"/>
    <w:rsid w:val="00443C76"/>
    <w:rsid w:val="00445CF1"/>
    <w:rsid w:val="004463BD"/>
    <w:rsid w:val="00446555"/>
    <w:rsid w:val="004501C5"/>
    <w:rsid w:val="00451837"/>
    <w:rsid w:val="00453BCC"/>
    <w:rsid w:val="00455917"/>
    <w:rsid w:val="00460488"/>
    <w:rsid w:val="00461F36"/>
    <w:rsid w:val="00465242"/>
    <w:rsid w:val="00465910"/>
    <w:rsid w:val="004666B1"/>
    <w:rsid w:val="00471969"/>
    <w:rsid w:val="00472C8C"/>
    <w:rsid w:val="0048294B"/>
    <w:rsid w:val="00484E45"/>
    <w:rsid w:val="00485C8A"/>
    <w:rsid w:val="00486085"/>
    <w:rsid w:val="0049056A"/>
    <w:rsid w:val="00491A84"/>
    <w:rsid w:val="00493548"/>
    <w:rsid w:val="00495AB9"/>
    <w:rsid w:val="004973D5"/>
    <w:rsid w:val="004A0921"/>
    <w:rsid w:val="004A40AA"/>
    <w:rsid w:val="004A59F7"/>
    <w:rsid w:val="004A7791"/>
    <w:rsid w:val="004A7D70"/>
    <w:rsid w:val="004A7E70"/>
    <w:rsid w:val="004B1204"/>
    <w:rsid w:val="004B6582"/>
    <w:rsid w:val="004B79BE"/>
    <w:rsid w:val="004C38F6"/>
    <w:rsid w:val="004C4104"/>
    <w:rsid w:val="004C41D4"/>
    <w:rsid w:val="004C6AAE"/>
    <w:rsid w:val="004D147A"/>
    <w:rsid w:val="004D1EC1"/>
    <w:rsid w:val="004D3D40"/>
    <w:rsid w:val="004D4416"/>
    <w:rsid w:val="004D5AF1"/>
    <w:rsid w:val="004E648A"/>
    <w:rsid w:val="004E7879"/>
    <w:rsid w:val="004F2642"/>
    <w:rsid w:val="004F2D52"/>
    <w:rsid w:val="004F3FE1"/>
    <w:rsid w:val="004F546A"/>
    <w:rsid w:val="004F68F0"/>
    <w:rsid w:val="004F789C"/>
    <w:rsid w:val="004F799C"/>
    <w:rsid w:val="005016FE"/>
    <w:rsid w:val="005041BD"/>
    <w:rsid w:val="00505007"/>
    <w:rsid w:val="00505CF0"/>
    <w:rsid w:val="00507A67"/>
    <w:rsid w:val="00510C34"/>
    <w:rsid w:val="00511D74"/>
    <w:rsid w:val="0051549D"/>
    <w:rsid w:val="0051725F"/>
    <w:rsid w:val="00517BF4"/>
    <w:rsid w:val="00520033"/>
    <w:rsid w:val="00520F4A"/>
    <w:rsid w:val="00522575"/>
    <w:rsid w:val="00522C64"/>
    <w:rsid w:val="005240A4"/>
    <w:rsid w:val="00526028"/>
    <w:rsid w:val="00527EC4"/>
    <w:rsid w:val="005306B0"/>
    <w:rsid w:val="00535448"/>
    <w:rsid w:val="00535F9F"/>
    <w:rsid w:val="00537613"/>
    <w:rsid w:val="00537ED1"/>
    <w:rsid w:val="00543892"/>
    <w:rsid w:val="005442F5"/>
    <w:rsid w:val="00544841"/>
    <w:rsid w:val="00545908"/>
    <w:rsid w:val="00550677"/>
    <w:rsid w:val="0055121A"/>
    <w:rsid w:val="00552481"/>
    <w:rsid w:val="005531E9"/>
    <w:rsid w:val="00553236"/>
    <w:rsid w:val="00555D59"/>
    <w:rsid w:val="00555EA3"/>
    <w:rsid w:val="005609A7"/>
    <w:rsid w:val="005635F0"/>
    <w:rsid w:val="005649CA"/>
    <w:rsid w:val="00566831"/>
    <w:rsid w:val="00566DC8"/>
    <w:rsid w:val="00571282"/>
    <w:rsid w:val="005712A0"/>
    <w:rsid w:val="00571615"/>
    <w:rsid w:val="0057177C"/>
    <w:rsid w:val="00576229"/>
    <w:rsid w:val="00581983"/>
    <w:rsid w:val="005831C1"/>
    <w:rsid w:val="005854E3"/>
    <w:rsid w:val="00585D67"/>
    <w:rsid w:val="0058609B"/>
    <w:rsid w:val="00590946"/>
    <w:rsid w:val="00591015"/>
    <w:rsid w:val="0059463E"/>
    <w:rsid w:val="00596F85"/>
    <w:rsid w:val="005A134D"/>
    <w:rsid w:val="005A2225"/>
    <w:rsid w:val="005A2319"/>
    <w:rsid w:val="005A407D"/>
    <w:rsid w:val="005A4B2B"/>
    <w:rsid w:val="005A6519"/>
    <w:rsid w:val="005A6CCA"/>
    <w:rsid w:val="005A7DAA"/>
    <w:rsid w:val="005B0C73"/>
    <w:rsid w:val="005B1C69"/>
    <w:rsid w:val="005B26ED"/>
    <w:rsid w:val="005B3297"/>
    <w:rsid w:val="005B351C"/>
    <w:rsid w:val="005B59C8"/>
    <w:rsid w:val="005B6E66"/>
    <w:rsid w:val="005B78B7"/>
    <w:rsid w:val="005B7D09"/>
    <w:rsid w:val="005C006A"/>
    <w:rsid w:val="005C4F57"/>
    <w:rsid w:val="005C7F4F"/>
    <w:rsid w:val="005D01F8"/>
    <w:rsid w:val="005D0261"/>
    <w:rsid w:val="005D267B"/>
    <w:rsid w:val="005D4223"/>
    <w:rsid w:val="005E1700"/>
    <w:rsid w:val="005E202A"/>
    <w:rsid w:val="005E2653"/>
    <w:rsid w:val="005E5E7B"/>
    <w:rsid w:val="005E77D7"/>
    <w:rsid w:val="005F07A1"/>
    <w:rsid w:val="005F2624"/>
    <w:rsid w:val="005F6DC9"/>
    <w:rsid w:val="00600AAD"/>
    <w:rsid w:val="006040E3"/>
    <w:rsid w:val="00606862"/>
    <w:rsid w:val="006072F4"/>
    <w:rsid w:val="00613B5D"/>
    <w:rsid w:val="00614D6B"/>
    <w:rsid w:val="00615249"/>
    <w:rsid w:val="00615FD4"/>
    <w:rsid w:val="00621522"/>
    <w:rsid w:val="00621B2A"/>
    <w:rsid w:val="00622387"/>
    <w:rsid w:val="006226B3"/>
    <w:rsid w:val="006231BE"/>
    <w:rsid w:val="00623EE2"/>
    <w:rsid w:val="0062446C"/>
    <w:rsid w:val="006248F8"/>
    <w:rsid w:val="00627D82"/>
    <w:rsid w:val="0063344C"/>
    <w:rsid w:val="00634092"/>
    <w:rsid w:val="00635975"/>
    <w:rsid w:val="00636B22"/>
    <w:rsid w:val="00637970"/>
    <w:rsid w:val="00640935"/>
    <w:rsid w:val="00640AE1"/>
    <w:rsid w:val="0064531C"/>
    <w:rsid w:val="00646A5A"/>
    <w:rsid w:val="006477F7"/>
    <w:rsid w:val="00653221"/>
    <w:rsid w:val="00655650"/>
    <w:rsid w:val="00656057"/>
    <w:rsid w:val="00657067"/>
    <w:rsid w:val="006608D5"/>
    <w:rsid w:val="00660B13"/>
    <w:rsid w:val="0066159B"/>
    <w:rsid w:val="00662761"/>
    <w:rsid w:val="00663CE0"/>
    <w:rsid w:val="00665D7B"/>
    <w:rsid w:val="00666EFA"/>
    <w:rsid w:val="0067013E"/>
    <w:rsid w:val="006729B8"/>
    <w:rsid w:val="006731DE"/>
    <w:rsid w:val="0067750B"/>
    <w:rsid w:val="0068006A"/>
    <w:rsid w:val="006815E0"/>
    <w:rsid w:val="006833E5"/>
    <w:rsid w:val="0068392A"/>
    <w:rsid w:val="00683FDF"/>
    <w:rsid w:val="00692F4A"/>
    <w:rsid w:val="00693A65"/>
    <w:rsid w:val="006A4D01"/>
    <w:rsid w:val="006A6302"/>
    <w:rsid w:val="006A67A6"/>
    <w:rsid w:val="006A6BE4"/>
    <w:rsid w:val="006A7514"/>
    <w:rsid w:val="006B2B4C"/>
    <w:rsid w:val="006B4440"/>
    <w:rsid w:val="006B68E7"/>
    <w:rsid w:val="006B7FFC"/>
    <w:rsid w:val="006C0BAF"/>
    <w:rsid w:val="006C127D"/>
    <w:rsid w:val="006C248F"/>
    <w:rsid w:val="006C5453"/>
    <w:rsid w:val="006C55EA"/>
    <w:rsid w:val="006C66EC"/>
    <w:rsid w:val="006C7CC6"/>
    <w:rsid w:val="006D1E8D"/>
    <w:rsid w:val="006D35E4"/>
    <w:rsid w:val="006D5B9F"/>
    <w:rsid w:val="006E0DA4"/>
    <w:rsid w:val="006E2CE7"/>
    <w:rsid w:val="006E3F02"/>
    <w:rsid w:val="006E6313"/>
    <w:rsid w:val="006E7C17"/>
    <w:rsid w:val="006F14B7"/>
    <w:rsid w:val="006F7BA9"/>
    <w:rsid w:val="00701DCC"/>
    <w:rsid w:val="0070241E"/>
    <w:rsid w:val="00702738"/>
    <w:rsid w:val="00702A9F"/>
    <w:rsid w:val="007039C6"/>
    <w:rsid w:val="00704193"/>
    <w:rsid w:val="00710388"/>
    <w:rsid w:val="00711E83"/>
    <w:rsid w:val="007159A8"/>
    <w:rsid w:val="0071785D"/>
    <w:rsid w:val="00723DA4"/>
    <w:rsid w:val="00723E1D"/>
    <w:rsid w:val="007247A0"/>
    <w:rsid w:val="00730356"/>
    <w:rsid w:val="007354AE"/>
    <w:rsid w:val="00737314"/>
    <w:rsid w:val="007414DB"/>
    <w:rsid w:val="007429B7"/>
    <w:rsid w:val="007429C0"/>
    <w:rsid w:val="00743F65"/>
    <w:rsid w:val="00745DA9"/>
    <w:rsid w:val="00753FFF"/>
    <w:rsid w:val="0075640D"/>
    <w:rsid w:val="0076401B"/>
    <w:rsid w:val="00764685"/>
    <w:rsid w:val="0076653F"/>
    <w:rsid w:val="0076673A"/>
    <w:rsid w:val="00766DAB"/>
    <w:rsid w:val="00776C01"/>
    <w:rsid w:val="00780DAE"/>
    <w:rsid w:val="00782B1C"/>
    <w:rsid w:val="007851E5"/>
    <w:rsid w:val="00785A37"/>
    <w:rsid w:val="0078611A"/>
    <w:rsid w:val="00787D7F"/>
    <w:rsid w:val="007904EA"/>
    <w:rsid w:val="007915D0"/>
    <w:rsid w:val="00793424"/>
    <w:rsid w:val="00794B02"/>
    <w:rsid w:val="007A00A8"/>
    <w:rsid w:val="007A223D"/>
    <w:rsid w:val="007A24F7"/>
    <w:rsid w:val="007A621D"/>
    <w:rsid w:val="007A7CF6"/>
    <w:rsid w:val="007B3691"/>
    <w:rsid w:val="007B4B61"/>
    <w:rsid w:val="007B6C0F"/>
    <w:rsid w:val="007B79BC"/>
    <w:rsid w:val="007C131D"/>
    <w:rsid w:val="007C2006"/>
    <w:rsid w:val="007C2A9D"/>
    <w:rsid w:val="007C2B34"/>
    <w:rsid w:val="007D345F"/>
    <w:rsid w:val="007D4EDB"/>
    <w:rsid w:val="007D7EB8"/>
    <w:rsid w:val="007E3D53"/>
    <w:rsid w:val="007E4EBF"/>
    <w:rsid w:val="007E4F70"/>
    <w:rsid w:val="007F1884"/>
    <w:rsid w:val="008013EE"/>
    <w:rsid w:val="008013F8"/>
    <w:rsid w:val="0080434E"/>
    <w:rsid w:val="00804C49"/>
    <w:rsid w:val="00804F8A"/>
    <w:rsid w:val="0081106D"/>
    <w:rsid w:val="00813374"/>
    <w:rsid w:val="0081542B"/>
    <w:rsid w:val="00815CF0"/>
    <w:rsid w:val="0082065E"/>
    <w:rsid w:val="00821840"/>
    <w:rsid w:val="00833F42"/>
    <w:rsid w:val="008357AA"/>
    <w:rsid w:val="00835B16"/>
    <w:rsid w:val="0084037B"/>
    <w:rsid w:val="00840F06"/>
    <w:rsid w:val="00841BF7"/>
    <w:rsid w:val="00847351"/>
    <w:rsid w:val="008474D1"/>
    <w:rsid w:val="00855DE7"/>
    <w:rsid w:val="0086027B"/>
    <w:rsid w:val="00862776"/>
    <w:rsid w:val="00864F2C"/>
    <w:rsid w:val="00871D66"/>
    <w:rsid w:val="008729ED"/>
    <w:rsid w:val="008738E1"/>
    <w:rsid w:val="00874171"/>
    <w:rsid w:val="00876D62"/>
    <w:rsid w:val="00876F8A"/>
    <w:rsid w:val="0087743B"/>
    <w:rsid w:val="0088182E"/>
    <w:rsid w:val="00882F61"/>
    <w:rsid w:val="00884E0D"/>
    <w:rsid w:val="00887B86"/>
    <w:rsid w:val="00891540"/>
    <w:rsid w:val="008933E7"/>
    <w:rsid w:val="008934BC"/>
    <w:rsid w:val="00893612"/>
    <w:rsid w:val="00895A92"/>
    <w:rsid w:val="00896A35"/>
    <w:rsid w:val="00896A8E"/>
    <w:rsid w:val="008A0A24"/>
    <w:rsid w:val="008A0C24"/>
    <w:rsid w:val="008A3B7A"/>
    <w:rsid w:val="008A5481"/>
    <w:rsid w:val="008A6BB3"/>
    <w:rsid w:val="008A7BF8"/>
    <w:rsid w:val="008A7E58"/>
    <w:rsid w:val="008B416A"/>
    <w:rsid w:val="008B4793"/>
    <w:rsid w:val="008B4BAE"/>
    <w:rsid w:val="008B5D6F"/>
    <w:rsid w:val="008B5FA8"/>
    <w:rsid w:val="008B7F27"/>
    <w:rsid w:val="008C0B2D"/>
    <w:rsid w:val="008C4A4A"/>
    <w:rsid w:val="008C5ECB"/>
    <w:rsid w:val="008C6069"/>
    <w:rsid w:val="008D0C01"/>
    <w:rsid w:val="008D19E0"/>
    <w:rsid w:val="008D43A0"/>
    <w:rsid w:val="008D5DC4"/>
    <w:rsid w:val="008E333B"/>
    <w:rsid w:val="008E45AC"/>
    <w:rsid w:val="008E498F"/>
    <w:rsid w:val="008E6CB7"/>
    <w:rsid w:val="008F73CE"/>
    <w:rsid w:val="009028B6"/>
    <w:rsid w:val="00903B08"/>
    <w:rsid w:val="009065C2"/>
    <w:rsid w:val="009076E6"/>
    <w:rsid w:val="00911FB1"/>
    <w:rsid w:val="009128CA"/>
    <w:rsid w:val="00912B6E"/>
    <w:rsid w:val="00913092"/>
    <w:rsid w:val="00914DC6"/>
    <w:rsid w:val="00915C61"/>
    <w:rsid w:val="00923C67"/>
    <w:rsid w:val="0092591A"/>
    <w:rsid w:val="00925A17"/>
    <w:rsid w:val="00926E55"/>
    <w:rsid w:val="00932331"/>
    <w:rsid w:val="00933020"/>
    <w:rsid w:val="0094153F"/>
    <w:rsid w:val="00942A9A"/>
    <w:rsid w:val="00943AC8"/>
    <w:rsid w:val="009461EA"/>
    <w:rsid w:val="00952287"/>
    <w:rsid w:val="0095486E"/>
    <w:rsid w:val="00954FFC"/>
    <w:rsid w:val="00960F59"/>
    <w:rsid w:val="009669CE"/>
    <w:rsid w:val="009700E7"/>
    <w:rsid w:val="00970507"/>
    <w:rsid w:val="009720E2"/>
    <w:rsid w:val="00974EEC"/>
    <w:rsid w:val="009762B5"/>
    <w:rsid w:val="00976683"/>
    <w:rsid w:val="00976CB7"/>
    <w:rsid w:val="00977C63"/>
    <w:rsid w:val="009809FC"/>
    <w:rsid w:val="00980FBC"/>
    <w:rsid w:val="00982102"/>
    <w:rsid w:val="00983717"/>
    <w:rsid w:val="00984F8B"/>
    <w:rsid w:val="00986414"/>
    <w:rsid w:val="00986BF3"/>
    <w:rsid w:val="00991216"/>
    <w:rsid w:val="009927F5"/>
    <w:rsid w:val="009935EF"/>
    <w:rsid w:val="009A094F"/>
    <w:rsid w:val="009A2076"/>
    <w:rsid w:val="009A5C66"/>
    <w:rsid w:val="009A79E0"/>
    <w:rsid w:val="009B3117"/>
    <w:rsid w:val="009B7686"/>
    <w:rsid w:val="009C1918"/>
    <w:rsid w:val="009C3282"/>
    <w:rsid w:val="009C3DA2"/>
    <w:rsid w:val="009C4842"/>
    <w:rsid w:val="009C7B76"/>
    <w:rsid w:val="009D40FC"/>
    <w:rsid w:val="009D5710"/>
    <w:rsid w:val="009D5A22"/>
    <w:rsid w:val="009D5BAC"/>
    <w:rsid w:val="009D6570"/>
    <w:rsid w:val="009D7ED3"/>
    <w:rsid w:val="009E17D8"/>
    <w:rsid w:val="009E1822"/>
    <w:rsid w:val="009E1F14"/>
    <w:rsid w:val="009E22F3"/>
    <w:rsid w:val="009E44DD"/>
    <w:rsid w:val="009E78DC"/>
    <w:rsid w:val="009F511A"/>
    <w:rsid w:val="009F6487"/>
    <w:rsid w:val="009F6CA8"/>
    <w:rsid w:val="009F7F9D"/>
    <w:rsid w:val="00A01818"/>
    <w:rsid w:val="00A01FF3"/>
    <w:rsid w:val="00A039F2"/>
    <w:rsid w:val="00A05274"/>
    <w:rsid w:val="00A06A4A"/>
    <w:rsid w:val="00A10A40"/>
    <w:rsid w:val="00A13F8D"/>
    <w:rsid w:val="00A140BE"/>
    <w:rsid w:val="00A14179"/>
    <w:rsid w:val="00A14448"/>
    <w:rsid w:val="00A147EC"/>
    <w:rsid w:val="00A2047D"/>
    <w:rsid w:val="00A206DC"/>
    <w:rsid w:val="00A26036"/>
    <w:rsid w:val="00A27514"/>
    <w:rsid w:val="00A3413F"/>
    <w:rsid w:val="00A34978"/>
    <w:rsid w:val="00A36BE2"/>
    <w:rsid w:val="00A45591"/>
    <w:rsid w:val="00A460EE"/>
    <w:rsid w:val="00A463CC"/>
    <w:rsid w:val="00A4691D"/>
    <w:rsid w:val="00A46ACB"/>
    <w:rsid w:val="00A519CB"/>
    <w:rsid w:val="00A55654"/>
    <w:rsid w:val="00A607FB"/>
    <w:rsid w:val="00A63A6B"/>
    <w:rsid w:val="00A64896"/>
    <w:rsid w:val="00A6626C"/>
    <w:rsid w:val="00A70116"/>
    <w:rsid w:val="00A7121A"/>
    <w:rsid w:val="00A713C3"/>
    <w:rsid w:val="00A77F31"/>
    <w:rsid w:val="00A81395"/>
    <w:rsid w:val="00A8139B"/>
    <w:rsid w:val="00A81E5E"/>
    <w:rsid w:val="00A840CD"/>
    <w:rsid w:val="00A852C6"/>
    <w:rsid w:val="00A872B7"/>
    <w:rsid w:val="00A96769"/>
    <w:rsid w:val="00AA2B47"/>
    <w:rsid w:val="00AA5E74"/>
    <w:rsid w:val="00AA61D5"/>
    <w:rsid w:val="00AB5A2D"/>
    <w:rsid w:val="00AB6A67"/>
    <w:rsid w:val="00AC6539"/>
    <w:rsid w:val="00AD1E2C"/>
    <w:rsid w:val="00AD4982"/>
    <w:rsid w:val="00AD5A83"/>
    <w:rsid w:val="00AD6095"/>
    <w:rsid w:val="00AE2684"/>
    <w:rsid w:val="00AE311F"/>
    <w:rsid w:val="00AE5B54"/>
    <w:rsid w:val="00AE73C6"/>
    <w:rsid w:val="00AF11AA"/>
    <w:rsid w:val="00AF723E"/>
    <w:rsid w:val="00B014AF"/>
    <w:rsid w:val="00B02225"/>
    <w:rsid w:val="00B04899"/>
    <w:rsid w:val="00B1276F"/>
    <w:rsid w:val="00B132EE"/>
    <w:rsid w:val="00B158C8"/>
    <w:rsid w:val="00B15D7B"/>
    <w:rsid w:val="00B16E2F"/>
    <w:rsid w:val="00B202BE"/>
    <w:rsid w:val="00B214CE"/>
    <w:rsid w:val="00B27832"/>
    <w:rsid w:val="00B30C12"/>
    <w:rsid w:val="00B32CDE"/>
    <w:rsid w:val="00B35D30"/>
    <w:rsid w:val="00B36564"/>
    <w:rsid w:val="00B36E26"/>
    <w:rsid w:val="00B37975"/>
    <w:rsid w:val="00B40569"/>
    <w:rsid w:val="00B430E0"/>
    <w:rsid w:val="00B43BED"/>
    <w:rsid w:val="00B449A8"/>
    <w:rsid w:val="00B44CF7"/>
    <w:rsid w:val="00B47B8C"/>
    <w:rsid w:val="00B5122E"/>
    <w:rsid w:val="00B5171B"/>
    <w:rsid w:val="00B517B8"/>
    <w:rsid w:val="00B51F18"/>
    <w:rsid w:val="00B52805"/>
    <w:rsid w:val="00B52A22"/>
    <w:rsid w:val="00B52B06"/>
    <w:rsid w:val="00B53054"/>
    <w:rsid w:val="00B53119"/>
    <w:rsid w:val="00B54F62"/>
    <w:rsid w:val="00B55577"/>
    <w:rsid w:val="00B60DDB"/>
    <w:rsid w:val="00B635BA"/>
    <w:rsid w:val="00B63FE2"/>
    <w:rsid w:val="00B64FC0"/>
    <w:rsid w:val="00B65DE3"/>
    <w:rsid w:val="00B7042A"/>
    <w:rsid w:val="00B76AC2"/>
    <w:rsid w:val="00B80168"/>
    <w:rsid w:val="00B810C6"/>
    <w:rsid w:val="00B84199"/>
    <w:rsid w:val="00B901C9"/>
    <w:rsid w:val="00B9086D"/>
    <w:rsid w:val="00B9127B"/>
    <w:rsid w:val="00B92DEE"/>
    <w:rsid w:val="00B93C9C"/>
    <w:rsid w:val="00B93CC1"/>
    <w:rsid w:val="00BB1A8F"/>
    <w:rsid w:val="00BB1E0E"/>
    <w:rsid w:val="00BB512E"/>
    <w:rsid w:val="00BB7BFC"/>
    <w:rsid w:val="00BC26EE"/>
    <w:rsid w:val="00BC2CB4"/>
    <w:rsid w:val="00BC32F0"/>
    <w:rsid w:val="00BC37E5"/>
    <w:rsid w:val="00BD1650"/>
    <w:rsid w:val="00BD262B"/>
    <w:rsid w:val="00BD28A0"/>
    <w:rsid w:val="00BD2E75"/>
    <w:rsid w:val="00BD3EB0"/>
    <w:rsid w:val="00BD3F6A"/>
    <w:rsid w:val="00BD6527"/>
    <w:rsid w:val="00BD770D"/>
    <w:rsid w:val="00BE0F45"/>
    <w:rsid w:val="00BE5A3F"/>
    <w:rsid w:val="00BF0F81"/>
    <w:rsid w:val="00BF46F6"/>
    <w:rsid w:val="00BF7438"/>
    <w:rsid w:val="00C01498"/>
    <w:rsid w:val="00C03C51"/>
    <w:rsid w:val="00C06180"/>
    <w:rsid w:val="00C0641B"/>
    <w:rsid w:val="00C07BDD"/>
    <w:rsid w:val="00C10F6E"/>
    <w:rsid w:val="00C11E12"/>
    <w:rsid w:val="00C12D93"/>
    <w:rsid w:val="00C15047"/>
    <w:rsid w:val="00C15633"/>
    <w:rsid w:val="00C165A4"/>
    <w:rsid w:val="00C1745C"/>
    <w:rsid w:val="00C21BBD"/>
    <w:rsid w:val="00C2291B"/>
    <w:rsid w:val="00C240CC"/>
    <w:rsid w:val="00C27C5E"/>
    <w:rsid w:val="00C305B2"/>
    <w:rsid w:val="00C310C8"/>
    <w:rsid w:val="00C3231F"/>
    <w:rsid w:val="00C35A91"/>
    <w:rsid w:val="00C35F14"/>
    <w:rsid w:val="00C36765"/>
    <w:rsid w:val="00C40EC8"/>
    <w:rsid w:val="00C4129C"/>
    <w:rsid w:val="00C43882"/>
    <w:rsid w:val="00C443E2"/>
    <w:rsid w:val="00C473C6"/>
    <w:rsid w:val="00C557BB"/>
    <w:rsid w:val="00C55DE3"/>
    <w:rsid w:val="00C62913"/>
    <w:rsid w:val="00C66371"/>
    <w:rsid w:val="00C665CB"/>
    <w:rsid w:val="00C66E3E"/>
    <w:rsid w:val="00C67141"/>
    <w:rsid w:val="00C67943"/>
    <w:rsid w:val="00C706E3"/>
    <w:rsid w:val="00C70F5F"/>
    <w:rsid w:val="00C7151E"/>
    <w:rsid w:val="00C747F5"/>
    <w:rsid w:val="00C7576C"/>
    <w:rsid w:val="00C75E8F"/>
    <w:rsid w:val="00C8033E"/>
    <w:rsid w:val="00C81B87"/>
    <w:rsid w:val="00C82558"/>
    <w:rsid w:val="00C82C87"/>
    <w:rsid w:val="00C8397D"/>
    <w:rsid w:val="00C842D1"/>
    <w:rsid w:val="00C915FB"/>
    <w:rsid w:val="00C93CF5"/>
    <w:rsid w:val="00C9525E"/>
    <w:rsid w:val="00C97635"/>
    <w:rsid w:val="00C97E2E"/>
    <w:rsid w:val="00CA0246"/>
    <w:rsid w:val="00CA115E"/>
    <w:rsid w:val="00CA1D26"/>
    <w:rsid w:val="00CA4C37"/>
    <w:rsid w:val="00CA51B1"/>
    <w:rsid w:val="00CA5E5C"/>
    <w:rsid w:val="00CA791F"/>
    <w:rsid w:val="00CB1DFB"/>
    <w:rsid w:val="00CB2B01"/>
    <w:rsid w:val="00CB3D0D"/>
    <w:rsid w:val="00CB44B3"/>
    <w:rsid w:val="00CB4598"/>
    <w:rsid w:val="00CB4DA7"/>
    <w:rsid w:val="00CB6A52"/>
    <w:rsid w:val="00CC0722"/>
    <w:rsid w:val="00CC097F"/>
    <w:rsid w:val="00CC13A8"/>
    <w:rsid w:val="00CC52D8"/>
    <w:rsid w:val="00CC73F2"/>
    <w:rsid w:val="00CC78EB"/>
    <w:rsid w:val="00CD09EA"/>
    <w:rsid w:val="00CD348C"/>
    <w:rsid w:val="00CE19C2"/>
    <w:rsid w:val="00CE34EE"/>
    <w:rsid w:val="00CE7062"/>
    <w:rsid w:val="00CE7B70"/>
    <w:rsid w:val="00CF0314"/>
    <w:rsid w:val="00CF0682"/>
    <w:rsid w:val="00CF289D"/>
    <w:rsid w:val="00CF3476"/>
    <w:rsid w:val="00CF3A4F"/>
    <w:rsid w:val="00CF52B4"/>
    <w:rsid w:val="00CF5E05"/>
    <w:rsid w:val="00D05101"/>
    <w:rsid w:val="00D05CA3"/>
    <w:rsid w:val="00D10261"/>
    <w:rsid w:val="00D1108A"/>
    <w:rsid w:val="00D13DCE"/>
    <w:rsid w:val="00D14E29"/>
    <w:rsid w:val="00D209B4"/>
    <w:rsid w:val="00D22B6A"/>
    <w:rsid w:val="00D25275"/>
    <w:rsid w:val="00D430DC"/>
    <w:rsid w:val="00D466CB"/>
    <w:rsid w:val="00D50A11"/>
    <w:rsid w:val="00D50EAC"/>
    <w:rsid w:val="00D51C51"/>
    <w:rsid w:val="00D53088"/>
    <w:rsid w:val="00D54C61"/>
    <w:rsid w:val="00D54CDE"/>
    <w:rsid w:val="00D5654A"/>
    <w:rsid w:val="00D67F2B"/>
    <w:rsid w:val="00D771A0"/>
    <w:rsid w:val="00D8047C"/>
    <w:rsid w:val="00D82132"/>
    <w:rsid w:val="00D85B29"/>
    <w:rsid w:val="00D865C4"/>
    <w:rsid w:val="00D869D9"/>
    <w:rsid w:val="00D92466"/>
    <w:rsid w:val="00D960B2"/>
    <w:rsid w:val="00DA025D"/>
    <w:rsid w:val="00DA30EB"/>
    <w:rsid w:val="00DA5FFD"/>
    <w:rsid w:val="00DA61EC"/>
    <w:rsid w:val="00DA72E4"/>
    <w:rsid w:val="00DA7DEF"/>
    <w:rsid w:val="00DA7E15"/>
    <w:rsid w:val="00DB00FC"/>
    <w:rsid w:val="00DB132C"/>
    <w:rsid w:val="00DB1F66"/>
    <w:rsid w:val="00DB2EDF"/>
    <w:rsid w:val="00DB4A98"/>
    <w:rsid w:val="00DB4DE2"/>
    <w:rsid w:val="00DB5FB0"/>
    <w:rsid w:val="00DB636C"/>
    <w:rsid w:val="00DC001D"/>
    <w:rsid w:val="00DC2CB4"/>
    <w:rsid w:val="00DC3555"/>
    <w:rsid w:val="00DC4490"/>
    <w:rsid w:val="00DC7621"/>
    <w:rsid w:val="00DC788C"/>
    <w:rsid w:val="00DD0231"/>
    <w:rsid w:val="00DD4E4A"/>
    <w:rsid w:val="00DD680B"/>
    <w:rsid w:val="00DE1E2C"/>
    <w:rsid w:val="00DE3075"/>
    <w:rsid w:val="00DE54DD"/>
    <w:rsid w:val="00DE553B"/>
    <w:rsid w:val="00DE5702"/>
    <w:rsid w:val="00DE74D7"/>
    <w:rsid w:val="00DE7DDF"/>
    <w:rsid w:val="00DF319F"/>
    <w:rsid w:val="00DF6F4C"/>
    <w:rsid w:val="00DF7144"/>
    <w:rsid w:val="00E0152D"/>
    <w:rsid w:val="00E018E1"/>
    <w:rsid w:val="00E019F4"/>
    <w:rsid w:val="00E05C4C"/>
    <w:rsid w:val="00E066BB"/>
    <w:rsid w:val="00E11C20"/>
    <w:rsid w:val="00E122D7"/>
    <w:rsid w:val="00E173D4"/>
    <w:rsid w:val="00E20CBF"/>
    <w:rsid w:val="00E21F44"/>
    <w:rsid w:val="00E22769"/>
    <w:rsid w:val="00E245C3"/>
    <w:rsid w:val="00E255B8"/>
    <w:rsid w:val="00E33A02"/>
    <w:rsid w:val="00E3713C"/>
    <w:rsid w:val="00E4142B"/>
    <w:rsid w:val="00E42B83"/>
    <w:rsid w:val="00E43ACF"/>
    <w:rsid w:val="00E4546D"/>
    <w:rsid w:val="00E53965"/>
    <w:rsid w:val="00E549F1"/>
    <w:rsid w:val="00E574C2"/>
    <w:rsid w:val="00E5753C"/>
    <w:rsid w:val="00E67D6F"/>
    <w:rsid w:val="00E70334"/>
    <w:rsid w:val="00E71421"/>
    <w:rsid w:val="00E7716C"/>
    <w:rsid w:val="00E774CC"/>
    <w:rsid w:val="00E77971"/>
    <w:rsid w:val="00E813D9"/>
    <w:rsid w:val="00E8155A"/>
    <w:rsid w:val="00E82516"/>
    <w:rsid w:val="00E84B82"/>
    <w:rsid w:val="00E85F8B"/>
    <w:rsid w:val="00E863BC"/>
    <w:rsid w:val="00E9099E"/>
    <w:rsid w:val="00E92DD5"/>
    <w:rsid w:val="00E935A2"/>
    <w:rsid w:val="00E94435"/>
    <w:rsid w:val="00EA41C6"/>
    <w:rsid w:val="00EA453A"/>
    <w:rsid w:val="00EA5DD9"/>
    <w:rsid w:val="00EB6E87"/>
    <w:rsid w:val="00EB78DE"/>
    <w:rsid w:val="00EB7E80"/>
    <w:rsid w:val="00EC0494"/>
    <w:rsid w:val="00EC0661"/>
    <w:rsid w:val="00EC17E2"/>
    <w:rsid w:val="00EC2258"/>
    <w:rsid w:val="00EC55C1"/>
    <w:rsid w:val="00EC58A2"/>
    <w:rsid w:val="00EC6E7F"/>
    <w:rsid w:val="00EC724D"/>
    <w:rsid w:val="00EC72D4"/>
    <w:rsid w:val="00ED27E7"/>
    <w:rsid w:val="00ED4A1D"/>
    <w:rsid w:val="00ED5790"/>
    <w:rsid w:val="00EE0364"/>
    <w:rsid w:val="00EE28A1"/>
    <w:rsid w:val="00EE3DBF"/>
    <w:rsid w:val="00EE427A"/>
    <w:rsid w:val="00EE57F3"/>
    <w:rsid w:val="00EE5BA7"/>
    <w:rsid w:val="00EE7D85"/>
    <w:rsid w:val="00EF2801"/>
    <w:rsid w:val="00EF29BF"/>
    <w:rsid w:val="00EF29E1"/>
    <w:rsid w:val="00EF540D"/>
    <w:rsid w:val="00EF67E5"/>
    <w:rsid w:val="00EF70DF"/>
    <w:rsid w:val="00F0340E"/>
    <w:rsid w:val="00F04225"/>
    <w:rsid w:val="00F05C05"/>
    <w:rsid w:val="00F07B2C"/>
    <w:rsid w:val="00F112D0"/>
    <w:rsid w:val="00F114AB"/>
    <w:rsid w:val="00F13B12"/>
    <w:rsid w:val="00F16080"/>
    <w:rsid w:val="00F160F8"/>
    <w:rsid w:val="00F16CC8"/>
    <w:rsid w:val="00F17421"/>
    <w:rsid w:val="00F22437"/>
    <w:rsid w:val="00F22719"/>
    <w:rsid w:val="00F24527"/>
    <w:rsid w:val="00F24A40"/>
    <w:rsid w:val="00F303DD"/>
    <w:rsid w:val="00F30C11"/>
    <w:rsid w:val="00F31768"/>
    <w:rsid w:val="00F31BF6"/>
    <w:rsid w:val="00F33FEF"/>
    <w:rsid w:val="00F36B69"/>
    <w:rsid w:val="00F37CEC"/>
    <w:rsid w:val="00F41425"/>
    <w:rsid w:val="00F42437"/>
    <w:rsid w:val="00F42530"/>
    <w:rsid w:val="00F4359B"/>
    <w:rsid w:val="00F44235"/>
    <w:rsid w:val="00F4507E"/>
    <w:rsid w:val="00F501BB"/>
    <w:rsid w:val="00F533A2"/>
    <w:rsid w:val="00F53EA0"/>
    <w:rsid w:val="00F54CD5"/>
    <w:rsid w:val="00F55A14"/>
    <w:rsid w:val="00F562F8"/>
    <w:rsid w:val="00F5749D"/>
    <w:rsid w:val="00F61294"/>
    <w:rsid w:val="00F6135B"/>
    <w:rsid w:val="00F627C8"/>
    <w:rsid w:val="00F675D4"/>
    <w:rsid w:val="00F706A3"/>
    <w:rsid w:val="00F70C3C"/>
    <w:rsid w:val="00F74497"/>
    <w:rsid w:val="00F75C01"/>
    <w:rsid w:val="00F7795A"/>
    <w:rsid w:val="00F85CE4"/>
    <w:rsid w:val="00F934F7"/>
    <w:rsid w:val="00F95835"/>
    <w:rsid w:val="00F95C63"/>
    <w:rsid w:val="00F97375"/>
    <w:rsid w:val="00F976F3"/>
    <w:rsid w:val="00FA0747"/>
    <w:rsid w:val="00FA14FB"/>
    <w:rsid w:val="00FA54F9"/>
    <w:rsid w:val="00FA68BD"/>
    <w:rsid w:val="00FB3CC6"/>
    <w:rsid w:val="00FB45E8"/>
    <w:rsid w:val="00FB4742"/>
    <w:rsid w:val="00FB4E43"/>
    <w:rsid w:val="00FB69BC"/>
    <w:rsid w:val="00FC06F6"/>
    <w:rsid w:val="00FC10C5"/>
    <w:rsid w:val="00FC4A6C"/>
    <w:rsid w:val="00FC7B90"/>
    <w:rsid w:val="00FD2914"/>
    <w:rsid w:val="00FE0450"/>
    <w:rsid w:val="00FE232A"/>
    <w:rsid w:val="00FE2C6B"/>
    <w:rsid w:val="00FE2F1C"/>
    <w:rsid w:val="00FE311A"/>
    <w:rsid w:val="00FE4A70"/>
    <w:rsid w:val="00FE4D73"/>
    <w:rsid w:val="00FF0E19"/>
    <w:rsid w:val="00FF1FE2"/>
    <w:rsid w:val="00FF2E02"/>
    <w:rsid w:val="00FF2F8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DE7C"/>
  <w15:chartTrackingRefBased/>
  <w15:docId w15:val="{E09748CF-FDC5-43AF-AEE0-5C8A0F92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1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C17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C17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C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C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C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C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C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C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C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C17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C1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C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C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C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C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C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C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C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C17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C17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C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C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C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7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1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7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1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3542</Words>
  <Characters>20193</Characters>
  <Application>Microsoft Office Word</Application>
  <DocSecurity>0</DocSecurity>
  <Lines>168</Lines>
  <Paragraphs>47</Paragraphs>
  <ScaleCrop>false</ScaleCrop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2</cp:revision>
  <dcterms:created xsi:type="dcterms:W3CDTF">2024-09-17T13:52:00Z</dcterms:created>
  <dcterms:modified xsi:type="dcterms:W3CDTF">2024-09-17T13:52:00Z</dcterms:modified>
</cp:coreProperties>
</file>