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DE56C" w14:textId="77777777" w:rsidR="0019655F" w:rsidRDefault="0019655F" w:rsidP="0019655F">
      <w:pPr>
        <w:rPr>
          <w:b/>
          <w:bCs/>
        </w:rPr>
      </w:pPr>
    </w:p>
    <w:p w14:paraId="476708FF" w14:textId="77777777" w:rsidR="0019655F" w:rsidRDefault="0019655F" w:rsidP="0019655F">
      <w:pPr>
        <w:rPr>
          <w:b/>
          <w:bCs/>
        </w:rPr>
      </w:pPr>
      <w:r w:rsidRPr="438B8011">
        <w:rPr>
          <w:b/>
          <w:bCs/>
        </w:rPr>
        <w:t>Construction and Design Law: Managing the Network of Interdependent Relationships</w:t>
      </w:r>
    </w:p>
    <w:p w14:paraId="56D0F148" w14:textId="77777777" w:rsidR="0019655F" w:rsidRDefault="0019655F" w:rsidP="0019655F">
      <w:pPr>
        <w:jc w:val="center"/>
      </w:pPr>
    </w:p>
    <w:p w14:paraId="28C54CCC" w14:textId="77777777" w:rsidR="0019655F" w:rsidRDefault="0019655F" w:rsidP="0019655F">
      <w:pPr>
        <w:jc w:val="center"/>
      </w:pPr>
      <w:r>
        <w:t>Carl J. Circo</w:t>
      </w:r>
    </w:p>
    <w:p w14:paraId="3552ED88" w14:textId="5BEC7090" w:rsidR="00ED37F4" w:rsidRDefault="0019655F" w:rsidP="636C9287">
      <w:pPr>
        <w:keepNext/>
        <w:rPr>
          <w:b/>
          <w:bCs/>
        </w:rPr>
      </w:pPr>
      <w:r w:rsidRPr="636C9287">
        <w:rPr>
          <w:b/>
          <w:bCs/>
        </w:rPr>
        <w:t xml:space="preserve">Lesson 4: The Design Professional </w:t>
      </w:r>
    </w:p>
    <w:p w14:paraId="59689DE2" w14:textId="77777777" w:rsidR="00BE1115" w:rsidRPr="00BE1115" w:rsidRDefault="00BE1115" w:rsidP="636C9287">
      <w:pPr>
        <w:keepNext/>
        <w:rPr>
          <w:b/>
          <w:bCs/>
        </w:rPr>
      </w:pPr>
    </w:p>
    <w:p w14:paraId="7FA07CED" w14:textId="6F53ADE7" w:rsidR="00ED37F4" w:rsidRDefault="00780102" w:rsidP="636C9287">
      <w:pPr>
        <w:keepNext/>
        <w:ind w:firstLine="720"/>
      </w:pPr>
      <w:r>
        <w:t>Read</w:t>
      </w:r>
      <w:r w:rsidR="00B40E08">
        <w:t xml:space="preserve"> Sections</w:t>
      </w:r>
      <w:r w:rsidR="0032529D">
        <w:t xml:space="preserve"> 17:1-17:12 in volume </w:t>
      </w:r>
      <w:r w:rsidR="0070790D">
        <w:t>5</w:t>
      </w:r>
      <w:r>
        <w:t xml:space="preserve"> </w:t>
      </w:r>
      <w:r w:rsidR="00C2185A">
        <w:t xml:space="preserve">of </w:t>
      </w:r>
      <w:r w:rsidR="00C2185A" w:rsidRPr="636C9287">
        <w:rPr>
          <w:i/>
          <w:iCs/>
        </w:rPr>
        <w:t>Bruner &amp; O’Connor on Construction Law</w:t>
      </w:r>
      <w:r w:rsidR="00C2185A">
        <w:t xml:space="preserve"> (Westlaw Aug. 2023), by Phillip L. Bruner &amp; Patrick J. O’Connor, Jr. </w:t>
      </w:r>
      <w:r w:rsidR="000D02A8">
        <w:t>T</w:t>
      </w:r>
      <w:r w:rsidR="003F2845">
        <w:t>h</w:t>
      </w:r>
      <w:r>
        <w:t>ese sections</w:t>
      </w:r>
      <w:r w:rsidR="003F2845">
        <w:t xml:space="preserve"> </w:t>
      </w:r>
      <w:r>
        <w:t xml:space="preserve">introduce the </w:t>
      </w:r>
      <w:r w:rsidR="00AE32F3">
        <w:t>common roles that design professionals play in the design and construction process</w:t>
      </w:r>
      <w:r w:rsidR="003E200B">
        <w:t xml:space="preserve">, and they summarize the basic principles governing </w:t>
      </w:r>
      <w:r w:rsidR="006D5C56">
        <w:t xml:space="preserve">design professional liability and the legal relationship between design professionals and their clients. </w:t>
      </w:r>
      <w:r w:rsidR="00812E38">
        <w:t>T</w:t>
      </w:r>
      <w:r w:rsidR="008B4108">
        <w:t xml:space="preserve">hese materials </w:t>
      </w:r>
      <w:r w:rsidR="005A7A00">
        <w:t>also explore</w:t>
      </w:r>
      <w:r w:rsidR="008B4108">
        <w:t xml:space="preserve"> the critical distinction between</w:t>
      </w:r>
      <w:r w:rsidR="005A7A00">
        <w:t xml:space="preserve"> the</w:t>
      </w:r>
      <w:r w:rsidR="004C5978">
        <w:t xml:space="preserve"> potential</w:t>
      </w:r>
      <w:r w:rsidR="008B4108">
        <w:t xml:space="preserve"> liability</w:t>
      </w:r>
      <w:r w:rsidR="005A7A00">
        <w:t xml:space="preserve"> of design professionals</w:t>
      </w:r>
      <w:r w:rsidR="008B4108">
        <w:t xml:space="preserve"> based on contract</w:t>
      </w:r>
      <w:r w:rsidR="002234FE">
        <w:t xml:space="preserve"> law</w:t>
      </w:r>
      <w:r w:rsidR="008B4108">
        <w:t xml:space="preserve"> </w:t>
      </w:r>
      <w:r w:rsidR="004C5978">
        <w:t>versus</w:t>
      </w:r>
      <w:r w:rsidR="008B4108">
        <w:t xml:space="preserve"> tort</w:t>
      </w:r>
      <w:r w:rsidR="002234FE">
        <w:t xml:space="preserve"> law</w:t>
      </w:r>
      <w:r w:rsidR="002D43E0">
        <w:t xml:space="preserve">, and they hint at the complex </w:t>
      </w:r>
      <w:r w:rsidR="00AC22AF">
        <w:t>legal principles that determine the extent to which</w:t>
      </w:r>
      <w:r w:rsidR="002D43E0">
        <w:t xml:space="preserve"> a design professional</w:t>
      </w:r>
      <w:r w:rsidR="00AC22AF">
        <w:t xml:space="preserve"> </w:t>
      </w:r>
      <w:r w:rsidR="00065069">
        <w:t xml:space="preserve">may </w:t>
      </w:r>
      <w:r w:rsidR="00AC22AF">
        <w:t xml:space="preserve">owe </w:t>
      </w:r>
      <w:r w:rsidR="00226334">
        <w:t xml:space="preserve">a duty of care to </w:t>
      </w:r>
      <w:r w:rsidR="00BB74C4">
        <w:t>those</w:t>
      </w:r>
      <w:r w:rsidR="008D467F">
        <w:t xml:space="preserve"> who are not parties to the design services contract.</w:t>
      </w:r>
      <w:r w:rsidR="00BF7741">
        <w:t xml:space="preserve"> This last issue implicates the economic loss rule</w:t>
      </w:r>
      <w:r w:rsidR="0037799A">
        <w:t xml:space="preserve">, a topic you will </w:t>
      </w:r>
      <w:r w:rsidR="00CC153D">
        <w:t>encounter more directly in later lessons.</w:t>
      </w:r>
    </w:p>
    <w:p w14:paraId="7608A87A" w14:textId="77777777" w:rsidR="00B2370A" w:rsidRDefault="00B2370A" w:rsidP="636C9287">
      <w:pPr>
        <w:keepNext/>
        <w:ind w:firstLine="720"/>
        <w:rPr>
          <w:b/>
          <w:bCs/>
        </w:rPr>
      </w:pPr>
    </w:p>
    <w:p w14:paraId="386824DE" w14:textId="2DC111FE" w:rsidR="00ED37F4" w:rsidRDefault="00C33496" w:rsidP="00843950">
      <w:pPr>
        <w:keepNext/>
        <w:ind w:firstLine="720"/>
      </w:pPr>
      <w:r>
        <w:t>Several of the</w:t>
      </w:r>
      <w:r w:rsidR="00E34E1A">
        <w:t xml:space="preserve"> </w:t>
      </w:r>
      <w:r w:rsidR="008F3258">
        <w:t>assigned sections from the Bruner and O’Connor treatise</w:t>
      </w:r>
      <w:r w:rsidR="000D5173">
        <w:t xml:space="preserve"> emphasize</w:t>
      </w:r>
      <w:r w:rsidR="008F3258">
        <w:t xml:space="preserve"> </w:t>
      </w:r>
      <w:r w:rsidR="000D5173">
        <w:t>the</w:t>
      </w:r>
      <w:r w:rsidR="00563DDC">
        <w:t xml:space="preserve"> potential liability risks that design professionals face</w:t>
      </w:r>
      <w:r w:rsidR="00303657">
        <w:t>, which is, indeed, a</w:t>
      </w:r>
      <w:r w:rsidR="00EC54A7">
        <w:t xml:space="preserve"> topic of considerable importance </w:t>
      </w:r>
      <w:r w:rsidR="00796367">
        <w:t xml:space="preserve">in the construction industry. </w:t>
      </w:r>
      <w:r w:rsidR="00720D72">
        <w:t>For c</w:t>
      </w:r>
      <w:r w:rsidR="001E2B1C">
        <w:t xml:space="preserve">onstruction lawyers, however, </w:t>
      </w:r>
      <w:r w:rsidR="00591D64">
        <w:t xml:space="preserve">the legal aspects of design services involve </w:t>
      </w:r>
      <w:r w:rsidR="00720D72">
        <w:t>much</w:t>
      </w:r>
      <w:r w:rsidR="00CA1AE6">
        <w:t xml:space="preserve"> more than </w:t>
      </w:r>
      <w:r w:rsidR="00AC46D9">
        <w:t>liability</w:t>
      </w:r>
      <w:r w:rsidR="0004760D">
        <w:t xml:space="preserve"> issues</w:t>
      </w:r>
      <w:r w:rsidR="0000170F">
        <w:t xml:space="preserve"> because design professionals and the services they provide can have significant impacts, either directly or indirectly, on most project participants and on many construction contracts.</w:t>
      </w:r>
      <w:r w:rsidR="00CB23EE">
        <w:t xml:space="preserve"> Accordingly, b</w:t>
      </w:r>
      <w:r w:rsidR="004B7515">
        <w:t xml:space="preserve">eyond prosecuting and defending claims, </w:t>
      </w:r>
      <w:r w:rsidR="00B04BC9">
        <w:t>construction lawyers</w:t>
      </w:r>
      <w:r w:rsidR="004A27EA">
        <w:t xml:space="preserve"> help their clients structure and manage relationships </w:t>
      </w:r>
      <w:r w:rsidR="00505A18">
        <w:t>involving</w:t>
      </w:r>
      <w:r w:rsidR="00E641F4">
        <w:t xml:space="preserve"> design services</w:t>
      </w:r>
      <w:r w:rsidR="000A1E7B">
        <w:t>,</w:t>
      </w:r>
      <w:r w:rsidR="00B86A60">
        <w:t xml:space="preserve"> </w:t>
      </w:r>
      <w:r w:rsidR="0087304C">
        <w:t>deal with professional licensing and regulatory matters</w:t>
      </w:r>
      <w:r w:rsidR="000A1E7B">
        <w:t>, and address many other issues</w:t>
      </w:r>
      <w:r w:rsidR="00BE0CF9">
        <w:t xml:space="preserve"> concerning the roles that design </w:t>
      </w:r>
      <w:proofErr w:type="gramStart"/>
      <w:r w:rsidR="00BE0CF9">
        <w:t>professionals</w:t>
      </w:r>
      <w:proofErr w:type="gramEnd"/>
      <w:r w:rsidR="00BE0CF9">
        <w:t xml:space="preserve"> play</w:t>
      </w:r>
      <w:r w:rsidR="00923AA0">
        <w:t xml:space="preserve">. </w:t>
      </w:r>
      <w:r w:rsidR="004050E6">
        <w:t>They</w:t>
      </w:r>
      <w:r w:rsidR="00DB3F57">
        <w:t xml:space="preserve"> </w:t>
      </w:r>
      <w:r w:rsidR="006A4586">
        <w:t>may</w:t>
      </w:r>
      <w:r w:rsidR="00944C6E">
        <w:t xml:space="preserve"> address</w:t>
      </w:r>
      <w:r w:rsidR="00E15799">
        <w:t xml:space="preserve"> these matters </w:t>
      </w:r>
      <w:r w:rsidR="00DB3F57">
        <w:t>when</w:t>
      </w:r>
      <w:r w:rsidR="0004760D">
        <w:t xml:space="preserve"> </w:t>
      </w:r>
      <w:r w:rsidR="00852BF0">
        <w:t>represent</w:t>
      </w:r>
      <w:r w:rsidR="00CB3808">
        <w:t>ing</w:t>
      </w:r>
      <w:r w:rsidR="006237F0">
        <w:t xml:space="preserve"> a</w:t>
      </w:r>
      <w:r w:rsidR="00852BF0">
        <w:t xml:space="preserve"> design professional</w:t>
      </w:r>
      <w:r w:rsidR="00327E8E">
        <w:t>,</w:t>
      </w:r>
      <w:r w:rsidR="00D7092B">
        <w:t xml:space="preserve"> </w:t>
      </w:r>
      <w:r w:rsidR="008510F5">
        <w:t xml:space="preserve">a </w:t>
      </w:r>
      <w:r w:rsidR="004050E6">
        <w:t>client</w:t>
      </w:r>
      <w:r w:rsidR="008510F5">
        <w:t xml:space="preserve"> </w:t>
      </w:r>
      <w:r w:rsidR="006404C4">
        <w:t>contracting directly with</w:t>
      </w:r>
      <w:r w:rsidR="00A76CB8">
        <w:t xml:space="preserve"> a</w:t>
      </w:r>
      <w:r w:rsidR="00F30214">
        <w:t xml:space="preserve"> design professional</w:t>
      </w:r>
      <w:r w:rsidR="00A76CB8">
        <w:t>,</w:t>
      </w:r>
      <w:r w:rsidR="00ED3AA7">
        <w:t xml:space="preserve"> or </w:t>
      </w:r>
      <w:r w:rsidR="00A76CB8">
        <w:t xml:space="preserve">any of the many </w:t>
      </w:r>
      <w:r w:rsidR="00ED3AA7">
        <w:t>other</w:t>
      </w:r>
      <w:r w:rsidR="00D956AC">
        <w:t xml:space="preserve"> project</w:t>
      </w:r>
      <w:r w:rsidR="00ED3AA7">
        <w:t xml:space="preserve"> participants</w:t>
      </w:r>
      <w:r w:rsidR="00331DA5">
        <w:t xml:space="preserve"> who</w:t>
      </w:r>
      <w:r w:rsidR="00ED3AA7">
        <w:t xml:space="preserve"> </w:t>
      </w:r>
      <w:r w:rsidR="00B2531E">
        <w:t>rely on</w:t>
      </w:r>
      <w:r w:rsidR="00901141">
        <w:t>, become involved with,</w:t>
      </w:r>
      <w:r w:rsidR="00B2531E">
        <w:t xml:space="preserve"> or </w:t>
      </w:r>
      <w:r w:rsidR="00331DA5">
        <w:t>may</w:t>
      </w:r>
      <w:r w:rsidR="00F80BFF">
        <w:t xml:space="preserve"> </w:t>
      </w:r>
      <w:r w:rsidR="00D26D52">
        <w:t xml:space="preserve">be </w:t>
      </w:r>
      <w:r w:rsidR="00B2531E">
        <w:t>affected by</w:t>
      </w:r>
      <w:r w:rsidR="004A6260">
        <w:t xml:space="preserve"> a</w:t>
      </w:r>
      <w:r w:rsidR="00B2531E">
        <w:t xml:space="preserve"> </w:t>
      </w:r>
      <w:r w:rsidR="00D26D52">
        <w:t>design</w:t>
      </w:r>
      <w:r w:rsidR="003524FA">
        <w:t xml:space="preserve"> </w:t>
      </w:r>
      <w:r w:rsidR="000009C4">
        <w:t>professional</w:t>
      </w:r>
      <w:r w:rsidR="00F21C18">
        <w:t>’</w:t>
      </w:r>
      <w:r w:rsidR="000009C4">
        <w:t>s acts and omissions</w:t>
      </w:r>
      <w:r w:rsidR="7D776AC4">
        <w:t>.</w:t>
      </w:r>
    </w:p>
    <w:p w14:paraId="05F5BD96" w14:textId="77777777" w:rsidR="00B2370A" w:rsidRDefault="00B2370A" w:rsidP="00843950">
      <w:pPr>
        <w:keepNext/>
        <w:ind w:firstLine="720"/>
      </w:pPr>
    </w:p>
    <w:p w14:paraId="22C0ADC1" w14:textId="39545CFA" w:rsidR="00BE1115" w:rsidRDefault="001A23D0" w:rsidP="00DF61C5">
      <w:pPr>
        <w:keepNext/>
        <w:ind w:firstLine="720"/>
      </w:pPr>
      <w:r>
        <w:t>T</w:t>
      </w:r>
      <w:r w:rsidR="00A21EAD">
        <w:t xml:space="preserve">o </w:t>
      </w:r>
      <w:r w:rsidR="001B2FE3">
        <w:t>reflect on</w:t>
      </w:r>
      <w:r w:rsidR="00A21EAD">
        <w:t xml:space="preserve"> </w:t>
      </w:r>
      <w:r w:rsidR="00DF1769">
        <w:t>these considerations</w:t>
      </w:r>
      <w:r w:rsidR="00520673">
        <w:t xml:space="preserve"> in </w:t>
      </w:r>
      <w:r w:rsidR="00DF1769">
        <w:t xml:space="preserve">one important </w:t>
      </w:r>
      <w:r w:rsidR="00867991">
        <w:t xml:space="preserve">and </w:t>
      </w:r>
      <w:r w:rsidR="00520673">
        <w:t xml:space="preserve">practical context, </w:t>
      </w:r>
      <w:r w:rsidR="0040367C">
        <w:t>read</w:t>
      </w:r>
      <w:r w:rsidR="0059144D">
        <w:t xml:space="preserve"> A</w:t>
      </w:r>
      <w:r w:rsidR="008E3EEB">
        <w:t>merican Institute of Architects (AIA)</w:t>
      </w:r>
      <w:r w:rsidR="0040367C">
        <w:t xml:space="preserve"> </w:t>
      </w:r>
      <w:r w:rsidR="00B27365">
        <w:t xml:space="preserve">contract form </w:t>
      </w:r>
      <w:r w:rsidR="00A21EAD">
        <w:t>AIA B101 (2017)</w:t>
      </w:r>
      <w:r w:rsidR="00B27365">
        <w:t xml:space="preserve">, </w:t>
      </w:r>
      <w:r w:rsidR="00AE7025">
        <w:t>“</w:t>
      </w:r>
      <w:r w:rsidR="00B27365">
        <w:t>Stand</w:t>
      </w:r>
      <w:r w:rsidR="00A26A70">
        <w:t xml:space="preserve">ard Form of Agreement Between </w:t>
      </w:r>
      <w:r w:rsidR="001B2FE3">
        <w:t>O</w:t>
      </w:r>
      <w:r w:rsidR="00A26A70">
        <w:t>wner and Architect</w:t>
      </w:r>
      <w:r w:rsidR="00E70519">
        <w:t>,</w:t>
      </w:r>
      <w:r w:rsidR="00AE7025">
        <w:t>”</w:t>
      </w:r>
      <w:r w:rsidR="00E70519">
        <w:t xml:space="preserve"> in its entirety.</w:t>
      </w:r>
      <w:r w:rsidR="00520673">
        <w:t xml:space="preserve"> </w:t>
      </w:r>
      <w:r w:rsidR="00EE6788">
        <w:t xml:space="preserve">As you review </w:t>
      </w:r>
      <w:r w:rsidR="00520673">
        <w:t>B101</w:t>
      </w:r>
      <w:r w:rsidR="00EE6788">
        <w:t>, remember that it</w:t>
      </w:r>
      <w:r w:rsidR="00520673">
        <w:t xml:space="preserve"> </w:t>
      </w:r>
      <w:r w:rsidR="00CF164F">
        <w:t>reflects</w:t>
      </w:r>
      <w:r w:rsidR="00520673">
        <w:t xml:space="preserve"> </w:t>
      </w:r>
      <w:r w:rsidR="00FE5D15">
        <w:t>one common</w:t>
      </w:r>
      <w:r w:rsidR="006F1185">
        <w:t xml:space="preserve"> </w:t>
      </w:r>
      <w:r w:rsidR="00E25AFB">
        <w:t xml:space="preserve">arrangement </w:t>
      </w:r>
      <w:r w:rsidR="00BE0443">
        <w:t>for a project</w:t>
      </w:r>
      <w:r w:rsidR="00CF164F">
        <w:t xml:space="preserve"> that</w:t>
      </w:r>
      <w:r w:rsidR="00BE0443">
        <w:t xml:space="preserve"> us</w:t>
      </w:r>
      <w:r w:rsidR="00CF164F">
        <w:t>es</w:t>
      </w:r>
      <w:r w:rsidR="00BE0443">
        <w:t xml:space="preserve"> the design-bid-build project delivery system</w:t>
      </w:r>
      <w:r w:rsidR="00C70A3E">
        <w:t xml:space="preserve"> and</w:t>
      </w:r>
      <w:r w:rsidR="00790252">
        <w:t xml:space="preserve"> </w:t>
      </w:r>
      <w:r w:rsidR="0055617A">
        <w:t>in which the owner’s architect provides comprehensive</w:t>
      </w:r>
      <w:r w:rsidR="00D17354">
        <w:t xml:space="preserve"> design</w:t>
      </w:r>
      <w:r w:rsidR="0055617A">
        <w:t xml:space="preserve"> services</w:t>
      </w:r>
      <w:r w:rsidR="001C1082">
        <w:t>. B101</w:t>
      </w:r>
      <w:r w:rsidR="0055617A">
        <w:t xml:space="preserve"> is not intended for use under other circumstances. As </w:t>
      </w:r>
      <w:r w:rsidR="00A076A6">
        <w:t>s</w:t>
      </w:r>
      <w:r w:rsidR="0055617A">
        <w:t>ection 17:2 of the Bruner and O’Connor treatise explains, the design professional’s role varies significantly depending on which delivery system a project uses. Alternative project delivery systems require substantially different contractual arrangements concerning</w:t>
      </w:r>
      <w:r w:rsidR="009F3782">
        <w:t xml:space="preserve"> design services</w:t>
      </w:r>
      <w:r w:rsidR="0055617A">
        <w:t xml:space="preserve">. </w:t>
      </w:r>
      <w:r w:rsidR="00E31C89">
        <w:t>For example</w:t>
      </w:r>
      <w:r w:rsidR="0055617A">
        <w:t>, in a design-build project, the primary design professional may be part of the design-build firm or may be a consultant to that firm</w:t>
      </w:r>
      <w:r w:rsidR="00BF58D6">
        <w:t xml:space="preserve">, </w:t>
      </w:r>
      <w:r w:rsidR="00E31C89">
        <w:t>or</w:t>
      </w:r>
      <w:r w:rsidR="00BF58D6">
        <w:t xml:space="preserve"> when the owner retains a construction manager, some functions the B101 assigns to the project architect may be share</w:t>
      </w:r>
      <w:r w:rsidR="00BC1BF3">
        <w:t>d</w:t>
      </w:r>
      <w:r w:rsidR="00BF58D6">
        <w:t xml:space="preserve"> with or completely </w:t>
      </w:r>
      <w:r w:rsidR="00331DB8">
        <w:t>transferred</w:t>
      </w:r>
      <w:r w:rsidR="00BF58D6">
        <w:t xml:space="preserve"> to the construction manager</w:t>
      </w:r>
      <w:r w:rsidR="0055617A">
        <w:t>. Moreover, in any project delivery system, some design professionals may be involved as consultants or subcontractors to the primary design professional or to other project participants. Additionally, no matter what project delivery system a project uses, design professionals and the services the</w:t>
      </w:r>
      <w:r w:rsidR="00CD4018">
        <w:t>y</w:t>
      </w:r>
      <w:r w:rsidR="00FA71DF">
        <w:t xml:space="preserve"> </w:t>
      </w:r>
      <w:r w:rsidR="0055617A">
        <w:lastRenderedPageBreak/>
        <w:t xml:space="preserve">provide affect a range of legal relationships in addition to those between the designer </w:t>
      </w:r>
      <w:r w:rsidR="003C24A4">
        <w:t xml:space="preserve">and </w:t>
      </w:r>
      <w:r w:rsidR="0055617A">
        <w:t>the participant who retains that designer.</w:t>
      </w:r>
    </w:p>
    <w:p w14:paraId="6F862912" w14:textId="77777777" w:rsidR="00DF61C5" w:rsidRDefault="00DF61C5" w:rsidP="00DF61C5">
      <w:pPr>
        <w:keepNext/>
        <w:ind w:firstLine="720"/>
      </w:pPr>
    </w:p>
    <w:p w14:paraId="2F1DF16D" w14:textId="3E8DF51C" w:rsidR="00AB1B9A" w:rsidRDefault="00723A08" w:rsidP="00DF61C5">
      <w:pPr>
        <w:keepNext/>
      </w:pPr>
      <w:r>
        <w:t xml:space="preserve">For present purposes, </w:t>
      </w:r>
      <w:r w:rsidR="009357B7">
        <w:t xml:space="preserve">however, </w:t>
      </w:r>
      <w:r w:rsidR="00BB6D05">
        <w:t>it is sufficient to focus</w:t>
      </w:r>
      <w:r w:rsidR="00141E97">
        <w:t xml:space="preserve"> primarily</w:t>
      </w:r>
      <w:r w:rsidR="00BB6D05">
        <w:t xml:space="preserve"> on</w:t>
      </w:r>
      <w:r w:rsidR="00ED37F4">
        <w:t xml:space="preserve"> the specific context for which</w:t>
      </w:r>
      <w:r w:rsidR="00504F8E">
        <w:t xml:space="preserve"> AIA B101 is designed</w:t>
      </w:r>
      <w:r w:rsidR="009357B7">
        <w:t>. C</w:t>
      </w:r>
      <w:r w:rsidR="00504F8E">
        <w:t xml:space="preserve">onsider </w:t>
      </w:r>
      <w:r w:rsidR="00000D9B">
        <w:t xml:space="preserve">especially </w:t>
      </w:r>
      <w:r w:rsidR="00AB1B9A">
        <w:t>these features:</w:t>
      </w:r>
    </w:p>
    <w:p w14:paraId="20BE1BD0" w14:textId="77777777" w:rsidR="00FE2C98" w:rsidRDefault="00FE2C98" w:rsidP="00DF61C5">
      <w:pPr>
        <w:keepNext/>
      </w:pPr>
    </w:p>
    <w:p w14:paraId="2EC28D29" w14:textId="0BFDCBE4" w:rsidR="00AB1B9A" w:rsidRDefault="009269C7" w:rsidP="00DF19D3">
      <w:pPr>
        <w:pStyle w:val="ListParagraph"/>
        <w:keepNext/>
        <w:numPr>
          <w:ilvl w:val="0"/>
          <w:numId w:val="4"/>
        </w:numPr>
      </w:pPr>
      <w:r w:rsidRPr="00AE1DCB">
        <w:rPr>
          <w:i/>
          <w:iCs/>
        </w:rPr>
        <w:t>Article 1</w:t>
      </w:r>
      <w:r w:rsidR="00AC7A61" w:rsidRPr="00AE1DCB">
        <w:rPr>
          <w:i/>
          <w:iCs/>
        </w:rPr>
        <w:t>, “Initial Information</w:t>
      </w:r>
      <w:r w:rsidR="00AE1DCB" w:rsidRPr="00AE1DCB">
        <w:rPr>
          <w:i/>
          <w:iCs/>
        </w:rPr>
        <w:t>.</w:t>
      </w:r>
      <w:r w:rsidR="00AC7A61" w:rsidRPr="00AE1DCB">
        <w:rPr>
          <w:i/>
          <w:iCs/>
        </w:rPr>
        <w:t>”</w:t>
      </w:r>
      <w:r>
        <w:t xml:space="preserve"> </w:t>
      </w:r>
      <w:r w:rsidR="0009068B">
        <w:t>T</w:t>
      </w:r>
      <w:r w:rsidR="006B354B">
        <w:t xml:space="preserve">his Article </w:t>
      </w:r>
      <w:r w:rsidR="00386E8B">
        <w:t xml:space="preserve">requires the owner to furnish </w:t>
      </w:r>
      <w:r>
        <w:t xml:space="preserve">details </w:t>
      </w:r>
      <w:r w:rsidR="000F13C5">
        <w:t>concerning</w:t>
      </w:r>
      <w:r>
        <w:t xml:space="preserve"> the owner’s “program</w:t>
      </w:r>
      <w:r w:rsidR="003F24EC">
        <w:t xml:space="preserve"> for the Project</w:t>
      </w:r>
      <w:r>
        <w:t>” and</w:t>
      </w:r>
      <w:r w:rsidR="006F6D78">
        <w:t xml:space="preserve"> to supply</w:t>
      </w:r>
      <w:r w:rsidR="00F657A6">
        <w:t xml:space="preserve"> </w:t>
      </w:r>
      <w:r w:rsidR="00C01E3F">
        <w:t>other</w:t>
      </w:r>
      <w:r>
        <w:t xml:space="preserve"> important information</w:t>
      </w:r>
      <w:r w:rsidR="001D5291">
        <w:t xml:space="preserve"> as background</w:t>
      </w:r>
      <w:r w:rsidR="00D92AA5">
        <w:t xml:space="preserve">. </w:t>
      </w:r>
      <w:r w:rsidR="00CA2246">
        <w:t xml:space="preserve">It also specifies </w:t>
      </w:r>
      <w:r w:rsidR="005F781E">
        <w:t>whether the owner or the project architect</w:t>
      </w:r>
      <w:r w:rsidR="00CA2246">
        <w:t xml:space="preserve"> </w:t>
      </w:r>
      <w:r w:rsidR="005F781E">
        <w:t>will retain certain design consult</w:t>
      </w:r>
      <w:r w:rsidR="001C449D">
        <w:t>ant</w:t>
      </w:r>
      <w:r w:rsidR="005F781E">
        <w:t>s</w:t>
      </w:r>
      <w:r w:rsidR="001C449D">
        <w:t>. Additionally,</w:t>
      </w:r>
      <w:r w:rsidR="004C41BC">
        <w:t xml:space="preserve"> it </w:t>
      </w:r>
      <w:r w:rsidR="00D17314">
        <w:t>contemplates</w:t>
      </w:r>
      <w:r w:rsidR="000433F0">
        <w:t xml:space="preserve"> </w:t>
      </w:r>
      <w:r w:rsidR="00D17314">
        <w:t xml:space="preserve">that the owner may </w:t>
      </w:r>
      <w:r w:rsidR="00691927">
        <w:t>have a “Sustainability Objective for the Project</w:t>
      </w:r>
      <w:r w:rsidR="006A3654">
        <w:t>,</w:t>
      </w:r>
      <w:r w:rsidR="005C670A">
        <w:t xml:space="preserve">” </w:t>
      </w:r>
      <w:r w:rsidR="006A3654">
        <w:t xml:space="preserve">which will </w:t>
      </w:r>
      <w:r w:rsidR="00747FEC">
        <w:t xml:space="preserve">be governed by additional AIA contract terms, </w:t>
      </w:r>
      <w:r w:rsidR="005C670A">
        <w:t xml:space="preserve">and that the project will use </w:t>
      </w:r>
      <w:r w:rsidR="0016500B">
        <w:t>“Building Information Modeli</w:t>
      </w:r>
      <w:r w:rsidR="000317FB">
        <w:t>ng,</w:t>
      </w:r>
      <w:r w:rsidR="00747FEC">
        <w:t>”</w:t>
      </w:r>
      <w:r w:rsidR="000317FB">
        <w:t xml:space="preserve"> </w:t>
      </w:r>
      <w:r w:rsidR="003C2CD5">
        <w:t>in accordance with digital data</w:t>
      </w:r>
      <w:r w:rsidR="00A77BFD">
        <w:t xml:space="preserve"> </w:t>
      </w:r>
      <w:r w:rsidR="00FE5928">
        <w:t xml:space="preserve">protocols </w:t>
      </w:r>
      <w:r w:rsidR="009D2BC8">
        <w:t>established by a separate AIA document incorporated by reference</w:t>
      </w:r>
      <w:r>
        <w:t>.</w:t>
      </w:r>
      <w:r w:rsidR="00A52618">
        <w:t xml:space="preserve"> </w:t>
      </w:r>
      <w:r w:rsidR="00B170EE">
        <w:t xml:space="preserve">Article 5 details other important responsibilities </w:t>
      </w:r>
      <w:r w:rsidR="00DF1A93">
        <w:t>that the AIA approach assigns to</w:t>
      </w:r>
      <w:r w:rsidR="00B170EE">
        <w:t xml:space="preserve"> the owner</w:t>
      </w:r>
      <w:r w:rsidR="00DF1A93">
        <w:t>.</w:t>
      </w:r>
    </w:p>
    <w:p w14:paraId="6C172254" w14:textId="77777777" w:rsidR="00FA71DF" w:rsidRDefault="00FA71DF" w:rsidP="00FA71DF">
      <w:pPr>
        <w:pStyle w:val="ListParagraph"/>
        <w:keepNext/>
      </w:pPr>
    </w:p>
    <w:p w14:paraId="130771EE" w14:textId="4D2A437B" w:rsidR="00DF19D3" w:rsidRDefault="00D92AA5" w:rsidP="00DF19D3">
      <w:pPr>
        <w:pStyle w:val="ListParagraph"/>
        <w:keepNext/>
        <w:numPr>
          <w:ilvl w:val="0"/>
          <w:numId w:val="4"/>
        </w:numPr>
      </w:pPr>
      <w:r w:rsidRPr="00AE1DCB">
        <w:rPr>
          <w:i/>
          <w:iCs/>
        </w:rPr>
        <w:t>The</w:t>
      </w:r>
      <w:r w:rsidR="0088371E" w:rsidRPr="00AE1DCB">
        <w:rPr>
          <w:i/>
          <w:iCs/>
        </w:rPr>
        <w:t xml:space="preserve"> standard of care </w:t>
      </w:r>
      <w:r w:rsidR="00213073" w:rsidRPr="00AE1DCB">
        <w:rPr>
          <w:i/>
          <w:iCs/>
        </w:rPr>
        <w:t>stated in Section 2.2 and</w:t>
      </w:r>
      <w:r w:rsidR="0070750D" w:rsidRPr="00AE1DCB">
        <w:rPr>
          <w:i/>
          <w:iCs/>
        </w:rPr>
        <w:t xml:space="preserve"> the</w:t>
      </w:r>
      <w:r w:rsidRPr="00AE1DCB">
        <w:rPr>
          <w:i/>
          <w:iCs/>
        </w:rPr>
        <w:t xml:space="preserve"> insurance </w:t>
      </w:r>
      <w:r w:rsidR="00213073" w:rsidRPr="00AE1DCB">
        <w:rPr>
          <w:i/>
          <w:iCs/>
        </w:rPr>
        <w:t>requirements stated in Section 2.5.</w:t>
      </w:r>
      <w:r w:rsidR="00213073">
        <w:t xml:space="preserve"> </w:t>
      </w:r>
      <w:r w:rsidR="001A69AF">
        <w:t xml:space="preserve">The </w:t>
      </w:r>
      <w:r w:rsidR="000755A6">
        <w:t>specifications</w:t>
      </w:r>
      <w:r w:rsidR="001A69AF">
        <w:t xml:space="preserve"> </w:t>
      </w:r>
      <w:r w:rsidR="000755A6">
        <w:t>in Subsection 2.5.6 for professional liability coverage are especially significant because other form</w:t>
      </w:r>
      <w:r w:rsidR="00497096">
        <w:t>s</w:t>
      </w:r>
      <w:r w:rsidR="000755A6">
        <w:t xml:space="preserve"> of liability </w:t>
      </w:r>
      <w:r w:rsidR="006D3ED4">
        <w:t xml:space="preserve">insurance, </w:t>
      </w:r>
      <w:r w:rsidR="00930AE8">
        <w:t>including</w:t>
      </w:r>
      <w:r w:rsidR="006D3ED4">
        <w:t xml:space="preserve"> commercial general liability</w:t>
      </w:r>
      <w:r w:rsidR="00930AE8">
        <w:t xml:space="preserve"> insurance</w:t>
      </w:r>
      <w:r w:rsidR="00C10DEC">
        <w:t>, expressly exclude coverage for liability resulting from professional services.</w:t>
      </w:r>
    </w:p>
    <w:p w14:paraId="0F6EBADB" w14:textId="77777777" w:rsidR="00FA71DF" w:rsidRDefault="00FA71DF" w:rsidP="00FA71DF">
      <w:pPr>
        <w:keepNext/>
      </w:pPr>
    </w:p>
    <w:p w14:paraId="23677E3E" w14:textId="40E83B55" w:rsidR="00DD18BB" w:rsidRDefault="00DD18BB" w:rsidP="00DF19D3">
      <w:pPr>
        <w:pStyle w:val="ListParagraph"/>
        <w:keepNext/>
        <w:numPr>
          <w:ilvl w:val="0"/>
          <w:numId w:val="4"/>
        </w:numPr>
      </w:pPr>
      <w:r w:rsidRPr="00863861">
        <w:rPr>
          <w:i/>
          <w:iCs/>
        </w:rPr>
        <w:t>The distinction</w:t>
      </w:r>
      <w:r w:rsidR="00486610" w:rsidRPr="00863861">
        <w:rPr>
          <w:i/>
          <w:iCs/>
        </w:rPr>
        <w:t>s concerning</w:t>
      </w:r>
      <w:r w:rsidRPr="00863861">
        <w:rPr>
          <w:i/>
          <w:iCs/>
        </w:rPr>
        <w:t xml:space="preserve"> “Basic Services</w:t>
      </w:r>
      <w:r w:rsidR="00AC33AA">
        <w:rPr>
          <w:i/>
          <w:iCs/>
        </w:rPr>
        <w:t>,</w:t>
      </w:r>
      <w:r w:rsidR="00162BDB" w:rsidRPr="00863861">
        <w:rPr>
          <w:i/>
          <w:iCs/>
        </w:rPr>
        <w:t xml:space="preserve">” </w:t>
      </w:r>
      <w:r w:rsidR="00863861" w:rsidRPr="00863861">
        <w:rPr>
          <w:i/>
          <w:iCs/>
        </w:rPr>
        <w:t>“Supplemental Services” and “Additional Services.”</w:t>
      </w:r>
      <w:r w:rsidR="00863861">
        <w:t xml:space="preserve"> </w:t>
      </w:r>
      <w:r w:rsidR="00162BDB">
        <w:t>Article 3</w:t>
      </w:r>
      <w:r w:rsidR="00A87907">
        <w:t xml:space="preserve"> define</w:t>
      </w:r>
      <w:r w:rsidR="00704A1E">
        <w:t>s</w:t>
      </w:r>
      <w:r w:rsidR="00A87907">
        <w:t xml:space="preserve"> the scope of the services</w:t>
      </w:r>
      <w:r w:rsidR="00390973">
        <w:t xml:space="preserve"> (the “Basic Services”)</w:t>
      </w:r>
      <w:r w:rsidR="00A87907">
        <w:t xml:space="preserve"> </w:t>
      </w:r>
      <w:r w:rsidR="00586356">
        <w:t>covered by the compensation provided for in Section 11.1</w:t>
      </w:r>
      <w:r w:rsidR="00390973">
        <w:t xml:space="preserve">. </w:t>
      </w:r>
      <w:r w:rsidR="00A96B50">
        <w:t>Article 4</w:t>
      </w:r>
      <w:r w:rsidR="00390973">
        <w:t xml:space="preserve"> </w:t>
      </w:r>
      <w:r w:rsidR="002B4F5B">
        <w:t>deals with “Supplemental Services” and “Additional Services</w:t>
      </w:r>
      <w:r w:rsidR="00586356">
        <w:t>,</w:t>
      </w:r>
      <w:r w:rsidR="002B4F5B">
        <w:t>”</w:t>
      </w:r>
      <w:r w:rsidR="00586356">
        <w:t xml:space="preserve"> which entitle the architect to additional compensation.</w:t>
      </w:r>
      <w:r w:rsidR="00740838">
        <w:t xml:space="preserve"> The </w:t>
      </w:r>
      <w:r w:rsidR="00A801C4">
        <w:t xml:space="preserve">division of </w:t>
      </w:r>
      <w:r w:rsidR="00C756CE">
        <w:t>B</w:t>
      </w:r>
      <w:r w:rsidR="00A801C4">
        <w:t xml:space="preserve">asic </w:t>
      </w:r>
      <w:r w:rsidR="00C756CE">
        <w:t>S</w:t>
      </w:r>
      <w:r w:rsidR="00A801C4">
        <w:t xml:space="preserve">ervices into the distinct phases described in </w:t>
      </w:r>
      <w:r w:rsidR="005C181E">
        <w:t>Sections 3.2-</w:t>
      </w:r>
      <w:r w:rsidR="00772FBB">
        <w:t xml:space="preserve">3.6 </w:t>
      </w:r>
      <w:r w:rsidR="001A1125">
        <w:t>reflects</w:t>
      </w:r>
      <w:r w:rsidR="001E324C">
        <w:t xml:space="preserve"> a conventional breakdown of</w:t>
      </w:r>
      <w:r w:rsidR="0036022E">
        <w:t xml:space="preserve"> an architect’s responsibilities during</w:t>
      </w:r>
      <w:r w:rsidR="001E324C">
        <w:t xml:space="preserve"> the stages</w:t>
      </w:r>
      <w:r w:rsidR="00740838">
        <w:t xml:space="preserve"> of</w:t>
      </w:r>
      <w:r w:rsidR="00564984">
        <w:t xml:space="preserve"> </w:t>
      </w:r>
      <w:r w:rsidR="0036022E">
        <w:t xml:space="preserve">a design-bid-build project, including </w:t>
      </w:r>
      <w:r w:rsidR="009978B8">
        <w:t xml:space="preserve">the AIA’s vision for </w:t>
      </w:r>
      <w:r w:rsidR="0036022E">
        <w:t xml:space="preserve">the architect’s role in </w:t>
      </w:r>
      <w:r w:rsidR="009978B8">
        <w:t>contract administration</w:t>
      </w:r>
      <w:r w:rsidR="00F458A6">
        <w:t xml:space="preserve"> during construction</w:t>
      </w:r>
      <w:r w:rsidR="009978B8">
        <w:t xml:space="preserve">. </w:t>
      </w:r>
      <w:r w:rsidR="00564984">
        <w:t xml:space="preserve">Also note </w:t>
      </w:r>
      <w:r w:rsidR="006B1225">
        <w:t>how extensively</w:t>
      </w:r>
      <w:r w:rsidR="00564984">
        <w:t xml:space="preserve"> </w:t>
      </w:r>
      <w:r w:rsidR="004213B3">
        <w:t xml:space="preserve">Article </w:t>
      </w:r>
      <w:r w:rsidR="007766A5">
        <w:t>11 covers many</w:t>
      </w:r>
      <w:r w:rsidR="00FE4DF5">
        <w:t xml:space="preserve"> other </w:t>
      </w:r>
      <w:r w:rsidR="00073F45">
        <w:t xml:space="preserve">financial </w:t>
      </w:r>
      <w:r w:rsidR="001E11DF">
        <w:t>details of the owner-architect relationship</w:t>
      </w:r>
      <w:r w:rsidR="007766A5">
        <w:t>.</w:t>
      </w:r>
    </w:p>
    <w:p w14:paraId="2F074AE8" w14:textId="77777777" w:rsidR="00FA71DF" w:rsidRDefault="00FA71DF" w:rsidP="00FA71DF">
      <w:pPr>
        <w:keepNext/>
      </w:pPr>
    </w:p>
    <w:p w14:paraId="5197009A" w14:textId="7155D615" w:rsidR="00925E6C" w:rsidRDefault="00925E6C" w:rsidP="00DF19D3">
      <w:pPr>
        <w:pStyle w:val="ListParagraph"/>
        <w:keepNext/>
        <w:numPr>
          <w:ilvl w:val="0"/>
          <w:numId w:val="4"/>
        </w:numPr>
      </w:pPr>
      <w:r w:rsidRPr="008D6970">
        <w:rPr>
          <w:i/>
          <w:iCs/>
        </w:rPr>
        <w:t>Article 6</w:t>
      </w:r>
      <w:r w:rsidR="00FC6645" w:rsidRPr="008D6970">
        <w:rPr>
          <w:i/>
          <w:iCs/>
        </w:rPr>
        <w:t>, “Cost of the Work</w:t>
      </w:r>
      <w:r w:rsidR="008B0CAE" w:rsidRPr="008D6970">
        <w:rPr>
          <w:i/>
          <w:iCs/>
        </w:rPr>
        <w:t>.</w:t>
      </w:r>
      <w:r w:rsidR="00FC6645" w:rsidRPr="008D6970">
        <w:rPr>
          <w:i/>
          <w:iCs/>
        </w:rPr>
        <w:t>”</w:t>
      </w:r>
      <w:r w:rsidR="008B0CAE">
        <w:t xml:space="preserve"> These provisions</w:t>
      </w:r>
      <w:r w:rsidR="00830C7E">
        <w:t>, which</w:t>
      </w:r>
      <w:r w:rsidR="008B0CAE">
        <w:t xml:space="preserve"> </w:t>
      </w:r>
      <w:r w:rsidR="00BA2797">
        <w:t xml:space="preserve">address aspects of </w:t>
      </w:r>
      <w:r w:rsidR="00635D2C">
        <w:t>construction costs</w:t>
      </w:r>
      <w:r w:rsidR="00BA2797">
        <w:t>,</w:t>
      </w:r>
      <w:r w:rsidR="00830C7E">
        <w:t xml:space="preserve"> obligate the architect to </w:t>
      </w:r>
      <w:r w:rsidR="001836D4">
        <w:t>assist in achieving the owner’s</w:t>
      </w:r>
      <w:r w:rsidR="004F451F">
        <w:t xml:space="preserve"> goals for the project budget to some extent, but</w:t>
      </w:r>
      <w:r w:rsidR="004A6477">
        <w:t xml:space="preserve"> they</w:t>
      </w:r>
      <w:r w:rsidR="004F451F">
        <w:t xml:space="preserve"> also limit</w:t>
      </w:r>
      <w:r w:rsidR="00AF5D79">
        <w:t xml:space="preserve"> the architect</w:t>
      </w:r>
      <w:r w:rsidR="00E83FF0">
        <w:t>’</w:t>
      </w:r>
      <w:r w:rsidR="00AF5D79">
        <w:t xml:space="preserve">s </w:t>
      </w:r>
      <w:r w:rsidR="00A47C35">
        <w:t xml:space="preserve">financial risk if </w:t>
      </w:r>
      <w:r w:rsidR="00E2306B">
        <w:t>the costs of construction ultimately exceed th</w:t>
      </w:r>
      <w:r w:rsidR="0087760B">
        <w:t>ose goals</w:t>
      </w:r>
      <w:r w:rsidR="007D4217">
        <w:t>.</w:t>
      </w:r>
    </w:p>
    <w:p w14:paraId="515FEBB2" w14:textId="77777777" w:rsidR="00FA71DF" w:rsidRDefault="00FA71DF" w:rsidP="00FA71DF">
      <w:pPr>
        <w:keepNext/>
      </w:pPr>
    </w:p>
    <w:p w14:paraId="77404D10" w14:textId="475F26D1" w:rsidR="00DF61C5" w:rsidRDefault="00FC6645" w:rsidP="00DF61C5">
      <w:pPr>
        <w:pStyle w:val="ListParagraph"/>
        <w:keepNext/>
        <w:numPr>
          <w:ilvl w:val="0"/>
          <w:numId w:val="4"/>
        </w:numPr>
      </w:pPr>
      <w:r w:rsidRPr="004A6477">
        <w:rPr>
          <w:i/>
          <w:iCs/>
        </w:rPr>
        <w:t xml:space="preserve">Article 7, </w:t>
      </w:r>
      <w:r w:rsidR="002C749A" w:rsidRPr="004A6477">
        <w:rPr>
          <w:i/>
          <w:iCs/>
        </w:rPr>
        <w:t>“Copyrights and Licenses.”</w:t>
      </w:r>
      <w:r w:rsidR="002C749A">
        <w:t xml:space="preserve"> </w:t>
      </w:r>
      <w:r w:rsidR="00B0381F">
        <w:t xml:space="preserve">Among other things, these provisions </w:t>
      </w:r>
      <w:r w:rsidR="00206600">
        <w:t xml:space="preserve">recognize </w:t>
      </w:r>
      <w:r w:rsidR="002F2A6D">
        <w:t xml:space="preserve">both the potential market value of design services and the risk </w:t>
      </w:r>
      <w:r w:rsidR="004C7D36">
        <w:t>that reuse of design</w:t>
      </w:r>
      <w:r w:rsidR="00A537EA">
        <w:t xml:space="preserve"> work </w:t>
      </w:r>
      <w:r w:rsidR="005B059C">
        <w:t xml:space="preserve">can expand </w:t>
      </w:r>
      <w:r w:rsidR="00F14677">
        <w:t xml:space="preserve">the </w:t>
      </w:r>
      <w:r w:rsidR="005B059C">
        <w:t>design professional</w:t>
      </w:r>
      <w:r w:rsidR="00F14677">
        <w:t>’s</w:t>
      </w:r>
      <w:r w:rsidR="005B059C">
        <w:t xml:space="preserve"> liability exposure. Federal copyright law protects intellectual property in “</w:t>
      </w:r>
      <w:r w:rsidR="00AB5AD6">
        <w:t>a</w:t>
      </w:r>
      <w:r w:rsidR="005B059C">
        <w:t xml:space="preserve">rchitectural </w:t>
      </w:r>
      <w:r w:rsidR="00AB5AD6">
        <w:t>w</w:t>
      </w:r>
      <w:r w:rsidR="005B059C">
        <w:t>orks</w:t>
      </w:r>
      <w:r w:rsidR="00754B7B">
        <w:t>.” 17 U.S.C.</w:t>
      </w:r>
      <w:r w:rsidR="009854E4">
        <w:t>A.</w:t>
      </w:r>
      <w:r w:rsidR="00754B7B">
        <w:t xml:space="preserve"> § 102.</w:t>
      </w:r>
      <w:r w:rsidR="0078030A">
        <w:t xml:space="preserve"> </w:t>
      </w:r>
      <w:r w:rsidR="00313934">
        <w:t xml:space="preserve">The protection extends to </w:t>
      </w:r>
      <w:r w:rsidR="00436B5F">
        <w:t>“</w:t>
      </w:r>
      <w:r w:rsidR="00436B5F" w:rsidRPr="00436B5F">
        <w:t xml:space="preserve">the design of a building as embodied in any tangible medium of expression, including a building, architectural plans, or drawings. The work includes the overall form as well as </w:t>
      </w:r>
      <w:r w:rsidR="00436B5F" w:rsidRPr="00436B5F">
        <w:lastRenderedPageBreak/>
        <w:t xml:space="preserve">the arrangement and composition of spaces and elements in the </w:t>
      </w:r>
      <w:r w:rsidR="00C11066" w:rsidRPr="00436B5F">
        <w:t>design but</w:t>
      </w:r>
      <w:r w:rsidR="00436B5F" w:rsidRPr="00436B5F">
        <w:t xml:space="preserve"> does not include individual standard features.</w:t>
      </w:r>
      <w:r w:rsidR="00C260A3">
        <w:t>” 17 U.S.C. § 101.</w:t>
      </w:r>
      <w:r w:rsidR="00A23081">
        <w:t xml:space="preserve"> </w:t>
      </w:r>
    </w:p>
    <w:p w14:paraId="4CB4F718" w14:textId="77777777" w:rsidR="00DF61C5" w:rsidRDefault="00DF61C5" w:rsidP="00DF61C5">
      <w:pPr>
        <w:keepNext/>
      </w:pPr>
    </w:p>
    <w:p w14:paraId="698B076C" w14:textId="29DADF4B" w:rsidR="000050F8" w:rsidRDefault="001838C3" w:rsidP="00DF61C5">
      <w:pPr>
        <w:keepNext/>
      </w:pPr>
      <w:r>
        <w:t>AIA B101 includes many other important provisions</w:t>
      </w:r>
      <w:r w:rsidR="00C962DF" w:rsidRPr="00C962DF">
        <w:t xml:space="preserve"> </w:t>
      </w:r>
      <w:r w:rsidR="00C962DF">
        <w:t>that are also relevant to other construction industry contracts and that later lessons will address.</w:t>
      </w:r>
      <w:r>
        <w:t xml:space="preserve"> </w:t>
      </w:r>
      <w:r w:rsidR="00E33D86">
        <w:t xml:space="preserve">These topics </w:t>
      </w:r>
      <w:r>
        <w:t>includ</w:t>
      </w:r>
      <w:r w:rsidR="00E33D86">
        <w:t>e</w:t>
      </w:r>
      <w:r w:rsidR="00DF61C5">
        <w:t xml:space="preserve"> </w:t>
      </w:r>
      <w:r>
        <w:t xml:space="preserve">procedures for </w:t>
      </w:r>
      <w:r w:rsidR="00CB1DB8">
        <w:t>handling claims and disputes</w:t>
      </w:r>
      <w:r w:rsidR="00C173FD">
        <w:t xml:space="preserve"> (Article 8)</w:t>
      </w:r>
      <w:r w:rsidR="00014586">
        <w:t xml:space="preserve"> and </w:t>
      </w:r>
      <w:r w:rsidR="00AC660F">
        <w:t xml:space="preserve">the rights of </w:t>
      </w:r>
      <w:r w:rsidR="00E33D86">
        <w:t>contracting</w:t>
      </w:r>
      <w:r w:rsidR="00AC660F">
        <w:t xml:space="preserve"> parties to terminate the contract</w:t>
      </w:r>
      <w:r w:rsidR="005C30B8">
        <w:t xml:space="preserve"> or</w:t>
      </w:r>
      <w:r w:rsidR="00B94180">
        <w:t xml:space="preserve"> to</w:t>
      </w:r>
      <w:r w:rsidR="005C30B8">
        <w:t xml:space="preserve"> suspend performance (Article 9)</w:t>
      </w:r>
      <w:r w:rsidR="00C962DF">
        <w:t>,</w:t>
      </w:r>
      <w:r w:rsidR="00D06777">
        <w:t xml:space="preserve"> </w:t>
      </w:r>
    </w:p>
    <w:p w14:paraId="5AB181C1" w14:textId="234DBCD9" w:rsidR="636C9287" w:rsidRDefault="636C9287" w:rsidP="636C9287">
      <w:pPr>
        <w:keepNext/>
        <w:rPr>
          <w:u w:val="single"/>
        </w:rPr>
      </w:pPr>
    </w:p>
    <w:p w14:paraId="28B7926B" w14:textId="78D96348" w:rsidR="00F444A4" w:rsidRDefault="00AF45A3" w:rsidP="001975A7">
      <w:pPr>
        <w:keepNext/>
        <w:rPr>
          <w:u w:val="single"/>
        </w:rPr>
      </w:pPr>
      <w:r>
        <w:rPr>
          <w:u w:val="single"/>
        </w:rPr>
        <w:t>A sampling of c</w:t>
      </w:r>
      <w:r w:rsidR="00F444A4">
        <w:rPr>
          <w:u w:val="single"/>
        </w:rPr>
        <w:t>ases</w:t>
      </w:r>
    </w:p>
    <w:p w14:paraId="6F353B05" w14:textId="77777777" w:rsidR="00505AE3" w:rsidRPr="00F444A4" w:rsidRDefault="00505AE3" w:rsidP="001975A7">
      <w:pPr>
        <w:keepNext/>
      </w:pPr>
    </w:p>
    <w:p w14:paraId="52DC947A" w14:textId="46C2C6C1" w:rsidR="005250EB" w:rsidRDefault="00346DC2" w:rsidP="00DF61C5">
      <w:pPr>
        <w:keepNext/>
      </w:pPr>
      <w:r>
        <w:t>A</w:t>
      </w:r>
      <w:r w:rsidR="00AF45A3">
        <w:t>n</w:t>
      </w:r>
      <w:r>
        <w:t xml:space="preserve"> extensive body of caselaw </w:t>
      </w:r>
      <w:r w:rsidR="00B40FB7">
        <w:t xml:space="preserve">addresses liability arising from design services. </w:t>
      </w:r>
      <w:r w:rsidR="00777E04">
        <w:t xml:space="preserve">Although </w:t>
      </w:r>
      <w:r w:rsidR="00305BE1">
        <w:t xml:space="preserve">the courts </w:t>
      </w:r>
      <w:r w:rsidR="00887BFD">
        <w:t>generally agree on</w:t>
      </w:r>
      <w:r w:rsidR="00305BE1">
        <w:t xml:space="preserve"> </w:t>
      </w:r>
      <w:r w:rsidR="00777E04">
        <w:t>some</w:t>
      </w:r>
      <w:r w:rsidR="00887BFD">
        <w:t xml:space="preserve"> of the most</w:t>
      </w:r>
      <w:r w:rsidR="00777E04">
        <w:t xml:space="preserve"> </w:t>
      </w:r>
      <w:r w:rsidR="00305BE1">
        <w:t>fundamental</w:t>
      </w:r>
      <w:r w:rsidR="00777E04">
        <w:t xml:space="preserve"> principles</w:t>
      </w:r>
      <w:r w:rsidR="00887BFD">
        <w:t>, the reported opinions also evidence some significant jurisdictional variations.</w:t>
      </w:r>
      <w:r w:rsidR="00777E04">
        <w:t xml:space="preserve"> </w:t>
      </w:r>
      <w:r w:rsidR="00012D56">
        <w:t xml:space="preserve">Read the following cases, which </w:t>
      </w:r>
      <w:r w:rsidR="002079A8">
        <w:t>cover a few issues</w:t>
      </w:r>
      <w:r w:rsidR="00C604C5">
        <w:t xml:space="preserve"> commonly litigated</w:t>
      </w:r>
      <w:r w:rsidR="002079A8">
        <w:t>.</w:t>
      </w:r>
    </w:p>
    <w:p w14:paraId="3338F110" w14:textId="77777777" w:rsidR="00FE2C98" w:rsidRDefault="00FE2C98" w:rsidP="00DF61C5">
      <w:pPr>
        <w:keepNext/>
      </w:pPr>
    </w:p>
    <w:p w14:paraId="7101D209" w14:textId="678E92F2" w:rsidR="005250EB" w:rsidRDefault="005250EB" w:rsidP="00DF61C5">
      <w:pPr>
        <w:pStyle w:val="ListParagraph"/>
        <w:keepNext/>
        <w:numPr>
          <w:ilvl w:val="0"/>
          <w:numId w:val="5"/>
        </w:numPr>
        <w:ind w:left="720"/>
      </w:pPr>
      <w:r w:rsidRPr="00DF61C5">
        <w:rPr>
          <w:u w:val="single"/>
        </w:rPr>
        <w:t>City of Mounds View v. Walijarvi</w:t>
      </w:r>
      <w:r>
        <w:t>, 263 N.W.2d 420 (Minn. 1978)</w:t>
      </w:r>
      <w:r w:rsidR="00707B6B">
        <w:t xml:space="preserve">. </w:t>
      </w:r>
    </w:p>
    <w:p w14:paraId="3DC17092" w14:textId="33024168" w:rsidR="006F4DAC" w:rsidRDefault="00707B6B" w:rsidP="00DF61C5">
      <w:pPr>
        <w:keepNext/>
        <w:ind w:left="720"/>
      </w:pPr>
      <w:r>
        <w:t>This</w:t>
      </w:r>
      <w:r w:rsidR="005250EB">
        <w:t xml:space="preserve"> class</w:t>
      </w:r>
      <w:r>
        <w:t>ic</w:t>
      </w:r>
      <w:r w:rsidR="005250EB">
        <w:t xml:space="preserve"> case</w:t>
      </w:r>
      <w:r w:rsidR="00583047">
        <w:t xml:space="preserve"> </w:t>
      </w:r>
      <w:r w:rsidR="002A5823">
        <w:t>concerns</w:t>
      </w:r>
      <w:r w:rsidR="005D25B2">
        <w:t xml:space="preserve"> liability for allegedly defective design</w:t>
      </w:r>
      <w:r w:rsidR="005250EB">
        <w:t>.</w:t>
      </w:r>
      <w:r w:rsidR="00C8206D">
        <w:t xml:space="preserve"> </w:t>
      </w:r>
      <w:r w:rsidR="00D0774F">
        <w:t xml:space="preserve">The court adhered to the traditional </w:t>
      </w:r>
      <w:r w:rsidR="008E2BE5">
        <w:t>professional negligence</w:t>
      </w:r>
      <w:r w:rsidR="000154FB">
        <w:t xml:space="preserve"> standard of care </w:t>
      </w:r>
      <w:r w:rsidR="006940CA">
        <w:t>that applies to</w:t>
      </w:r>
      <w:r w:rsidR="00D0774F">
        <w:t xml:space="preserve"> </w:t>
      </w:r>
      <w:r w:rsidR="00997D26">
        <w:t>a design professional</w:t>
      </w:r>
      <w:r w:rsidR="006940CA">
        <w:t>’s service</w:t>
      </w:r>
      <w:r w:rsidR="00160DB7">
        <w:t>s</w:t>
      </w:r>
      <w:r w:rsidR="00F87757">
        <w:t xml:space="preserve">. The case is especially significant because, in </w:t>
      </w:r>
      <w:r w:rsidR="00F86B4E">
        <w:t>an era when courts</w:t>
      </w:r>
      <w:r w:rsidR="008D3154">
        <w:t xml:space="preserve"> were</w:t>
      </w:r>
      <w:r w:rsidR="00F86B4E">
        <w:t xml:space="preserve"> frequently</w:t>
      </w:r>
      <w:r w:rsidR="008D3154">
        <w:t xml:space="preserve"> open to</w:t>
      </w:r>
      <w:r w:rsidR="00F87757">
        <w:t xml:space="preserve"> </w:t>
      </w:r>
      <w:r w:rsidR="00F86B4E">
        <w:t>expanding tort liability</w:t>
      </w:r>
      <w:r w:rsidR="008D3154">
        <w:t xml:space="preserve"> on policy grounds, the court</w:t>
      </w:r>
      <w:r w:rsidR="0097330A">
        <w:t xml:space="preserve"> refused to</w:t>
      </w:r>
      <w:r w:rsidR="00905F24">
        <w:t xml:space="preserve"> </w:t>
      </w:r>
      <w:r w:rsidR="008D3154">
        <w:t>imply</w:t>
      </w:r>
      <w:r w:rsidR="00905F24">
        <w:t xml:space="preserve"> into </w:t>
      </w:r>
      <w:r w:rsidR="008D3154">
        <w:t xml:space="preserve">a contract for architectural services </w:t>
      </w:r>
      <w:r w:rsidR="009D4A4A">
        <w:t xml:space="preserve">a </w:t>
      </w:r>
      <w:r w:rsidR="00905F24">
        <w:t xml:space="preserve">warranty that </w:t>
      </w:r>
      <w:r w:rsidR="00160DB7">
        <w:t xml:space="preserve">the </w:t>
      </w:r>
      <w:r w:rsidR="00123278">
        <w:t>project</w:t>
      </w:r>
      <w:r w:rsidR="00E61920">
        <w:t xml:space="preserve">, if constructed in accordance with the architect’s plans and specifications, </w:t>
      </w:r>
      <w:r w:rsidR="006A4C6A">
        <w:t xml:space="preserve">would be fit for </w:t>
      </w:r>
      <w:r w:rsidR="0066488B">
        <w:t>its</w:t>
      </w:r>
      <w:r w:rsidR="006A4C6A">
        <w:t xml:space="preserve"> intended purposes. </w:t>
      </w:r>
    </w:p>
    <w:p w14:paraId="2899AC9D" w14:textId="77777777" w:rsidR="00FA71DF" w:rsidRPr="00F2305A" w:rsidRDefault="00FA71DF" w:rsidP="00DF61C5">
      <w:pPr>
        <w:keepNext/>
        <w:ind w:left="720"/>
      </w:pPr>
    </w:p>
    <w:p w14:paraId="436D00B0" w14:textId="77777777" w:rsidR="00BE1115" w:rsidRDefault="006F4DAC" w:rsidP="00DF61C5">
      <w:pPr>
        <w:pStyle w:val="ListParagraph"/>
        <w:keepNext/>
        <w:numPr>
          <w:ilvl w:val="0"/>
          <w:numId w:val="5"/>
        </w:numPr>
        <w:ind w:left="720"/>
      </w:pPr>
      <w:r w:rsidRPr="00DF61C5">
        <w:rPr>
          <w:iCs/>
          <w:u w:val="single"/>
        </w:rPr>
        <w:t>Caldwell v. Bechtel, Inc.</w:t>
      </w:r>
      <w:r w:rsidRPr="00DF61C5">
        <w:rPr>
          <w:iCs/>
        </w:rPr>
        <w:t>,</w:t>
      </w:r>
      <w:r w:rsidRPr="00AC757C">
        <w:t xml:space="preserve"> 631 F.2d 989 (D.C. Cir. 1980)</w:t>
      </w:r>
      <w:r w:rsidR="00046EC1">
        <w:t xml:space="preserve">. </w:t>
      </w:r>
    </w:p>
    <w:p w14:paraId="1D1ACE69" w14:textId="7ACD1245" w:rsidR="007E4641" w:rsidRDefault="00046EC1" w:rsidP="00DF61C5">
      <w:pPr>
        <w:keepNext/>
        <w:ind w:left="720"/>
      </w:pPr>
      <w:r>
        <w:t>This case</w:t>
      </w:r>
      <w:r w:rsidR="006F4DAC">
        <w:t xml:space="preserve"> demonstrates a relatively</w:t>
      </w:r>
      <w:r>
        <w:t xml:space="preserve"> limited</w:t>
      </w:r>
      <w:r w:rsidR="0077444F">
        <w:t>, but important,</w:t>
      </w:r>
      <w:r w:rsidR="006F4DAC">
        <w:t xml:space="preserve"> </w:t>
      </w:r>
      <w:r>
        <w:t>expansion</w:t>
      </w:r>
      <w:r w:rsidR="007E4641">
        <w:t xml:space="preserve"> of a design professional’s liability in tort.</w:t>
      </w:r>
      <w:r w:rsidR="0096304A">
        <w:t xml:space="preserve"> Because the </w:t>
      </w:r>
      <w:r w:rsidR="00845B21">
        <w:t xml:space="preserve">court read the </w:t>
      </w:r>
      <w:r w:rsidR="0096304A">
        <w:t>contract</w:t>
      </w:r>
      <w:r w:rsidR="000E40B5">
        <w:t xml:space="preserve"> as</w:t>
      </w:r>
      <w:r w:rsidR="0096304A">
        <w:t xml:space="preserve"> </w:t>
      </w:r>
      <w:r w:rsidR="00794885">
        <w:t>assigning the</w:t>
      </w:r>
      <w:r w:rsidR="00A73109">
        <w:t xml:space="preserve"> responsibility for jobsite safety</w:t>
      </w:r>
      <w:r w:rsidR="00794885">
        <w:t xml:space="preserve"> to</w:t>
      </w:r>
      <w:r w:rsidR="00794885" w:rsidRPr="00794885">
        <w:t xml:space="preserve"> </w:t>
      </w:r>
      <w:r w:rsidR="00794885">
        <w:t>the defendant engineering firm</w:t>
      </w:r>
      <w:r w:rsidR="00A73109">
        <w:t>,</w:t>
      </w:r>
      <w:r w:rsidR="000A10DB">
        <w:t xml:space="preserve"> a construction worker had a</w:t>
      </w:r>
      <w:r w:rsidR="00E52F27">
        <w:t xml:space="preserve"> potentially</w:t>
      </w:r>
      <w:r w:rsidR="000A10DB">
        <w:t xml:space="preserve"> valid tort </w:t>
      </w:r>
      <w:r w:rsidR="00FA2989">
        <w:t>claim</w:t>
      </w:r>
      <w:r w:rsidR="000A10DB">
        <w:t xml:space="preserve"> against the defendant </w:t>
      </w:r>
      <w:r w:rsidR="006A4BDE">
        <w:t xml:space="preserve">for injuries the worker </w:t>
      </w:r>
      <w:r w:rsidR="00E364EE">
        <w:t xml:space="preserve">allegedly </w:t>
      </w:r>
      <w:r w:rsidR="006A4BDE">
        <w:t xml:space="preserve">suffered as the result of </w:t>
      </w:r>
      <w:r w:rsidR="007D6DF4">
        <w:t xml:space="preserve">hazardous conditions at the job site. </w:t>
      </w:r>
      <w:r w:rsidR="009E4FC5">
        <w:t xml:space="preserve">While the defendant’s contract was with the project owner, the </w:t>
      </w:r>
      <w:r w:rsidR="00DA4124">
        <w:t xml:space="preserve">defendant’s contractual responsibilities </w:t>
      </w:r>
      <w:r w:rsidR="00CD44E8">
        <w:t>established a “special relationship” between the defendant and the worker</w:t>
      </w:r>
      <w:r w:rsidR="005E2BC2">
        <w:t xml:space="preserve"> that gave rise to a tort duty of care for the worker’s protection. </w:t>
      </w:r>
      <w:r w:rsidR="00DA7F82">
        <w:t>Typical contracts between owners and project designers</w:t>
      </w:r>
      <w:r w:rsidR="00F70536">
        <w:t xml:space="preserve"> (as contrasted with safety engineers or consultants)</w:t>
      </w:r>
      <w:r w:rsidR="00DA7F82">
        <w:t xml:space="preserve">, however, </w:t>
      </w:r>
      <w:r w:rsidR="001A1B11">
        <w:t xml:space="preserve">routinely </w:t>
      </w:r>
      <w:r w:rsidR="00EA6821">
        <w:t>exclude any responsibility for</w:t>
      </w:r>
      <w:r w:rsidR="00BF6CC5">
        <w:t xml:space="preserve"> </w:t>
      </w:r>
      <w:r w:rsidR="007F2CC1">
        <w:t>worker</w:t>
      </w:r>
      <w:r w:rsidR="00EA6821">
        <w:t xml:space="preserve"> safet</w:t>
      </w:r>
      <w:r w:rsidR="007F2CC1">
        <w:t>y.</w:t>
      </w:r>
    </w:p>
    <w:p w14:paraId="0571B8C0" w14:textId="77777777" w:rsidR="00FA71DF" w:rsidRDefault="00FA71DF" w:rsidP="00DF61C5">
      <w:pPr>
        <w:keepNext/>
        <w:ind w:left="720"/>
      </w:pPr>
    </w:p>
    <w:p w14:paraId="322DD338" w14:textId="77777777" w:rsidR="00BE1115" w:rsidRPr="00DF61C5" w:rsidRDefault="007E4641" w:rsidP="00DF61C5">
      <w:pPr>
        <w:pStyle w:val="ListParagraph"/>
        <w:keepNext/>
        <w:numPr>
          <w:ilvl w:val="0"/>
          <w:numId w:val="5"/>
        </w:numPr>
        <w:ind w:left="720"/>
        <w:rPr>
          <w:bCs/>
        </w:rPr>
      </w:pPr>
      <w:r w:rsidRPr="00DF61C5">
        <w:rPr>
          <w:iCs/>
          <w:u w:val="single"/>
        </w:rPr>
        <w:t>Demetro v.</w:t>
      </w:r>
      <w:r w:rsidRPr="00DF61C5">
        <w:rPr>
          <w:b/>
          <w:u w:val="single"/>
        </w:rPr>
        <w:t xml:space="preserve"> </w:t>
      </w:r>
      <w:r w:rsidRPr="00DF61C5">
        <w:rPr>
          <w:bCs/>
          <w:u w:val="single"/>
        </w:rPr>
        <w:t>Dormitory Auth</w:t>
      </w:r>
      <w:r w:rsidRPr="00DF61C5">
        <w:rPr>
          <w:bCs/>
        </w:rPr>
        <w:t>., 96 N.Y.S.3d 30 (N.Y. App. Div. 2019)</w:t>
      </w:r>
      <w:r w:rsidR="00DF5A11" w:rsidRPr="00DF61C5">
        <w:rPr>
          <w:bCs/>
        </w:rPr>
        <w:t xml:space="preserve">. </w:t>
      </w:r>
    </w:p>
    <w:p w14:paraId="0747C612" w14:textId="47C02A91" w:rsidR="007E4641" w:rsidRDefault="00DF5A11" w:rsidP="00DF61C5">
      <w:pPr>
        <w:keepNext/>
        <w:ind w:left="720"/>
        <w:rPr>
          <w:bCs/>
        </w:rPr>
      </w:pPr>
      <w:r>
        <w:rPr>
          <w:bCs/>
        </w:rPr>
        <w:t>This</w:t>
      </w:r>
      <w:r w:rsidR="00CA1E5E">
        <w:rPr>
          <w:bCs/>
        </w:rPr>
        <w:t xml:space="preserve"> relatively recent decision</w:t>
      </w:r>
      <w:r>
        <w:rPr>
          <w:bCs/>
        </w:rPr>
        <w:t xml:space="preserve"> </w:t>
      </w:r>
      <w:r w:rsidR="00612C8C">
        <w:rPr>
          <w:bCs/>
        </w:rPr>
        <w:t xml:space="preserve">explores how the precise scope of </w:t>
      </w:r>
      <w:r w:rsidR="0097137E">
        <w:rPr>
          <w:bCs/>
        </w:rPr>
        <w:t xml:space="preserve">design </w:t>
      </w:r>
      <w:r w:rsidR="00612C8C">
        <w:rPr>
          <w:bCs/>
        </w:rPr>
        <w:t>services</w:t>
      </w:r>
      <w:r w:rsidR="006A0A5C">
        <w:rPr>
          <w:bCs/>
        </w:rPr>
        <w:t xml:space="preserve"> defined by </w:t>
      </w:r>
      <w:r w:rsidR="0097137E">
        <w:rPr>
          <w:bCs/>
        </w:rPr>
        <w:t>a</w:t>
      </w:r>
      <w:r w:rsidR="006A0A5C">
        <w:rPr>
          <w:bCs/>
        </w:rPr>
        <w:t xml:space="preserve"> contract, together with related</w:t>
      </w:r>
      <w:r w:rsidR="00612C8C">
        <w:rPr>
          <w:bCs/>
        </w:rPr>
        <w:t xml:space="preserve"> contract terms</w:t>
      </w:r>
      <w:r w:rsidR="00E003C7">
        <w:rPr>
          <w:bCs/>
        </w:rPr>
        <w:t xml:space="preserve"> and the conduct of </w:t>
      </w:r>
      <w:r w:rsidR="00231672">
        <w:rPr>
          <w:bCs/>
        </w:rPr>
        <w:t xml:space="preserve">project </w:t>
      </w:r>
      <w:r w:rsidR="00146218">
        <w:rPr>
          <w:bCs/>
        </w:rPr>
        <w:t>participants</w:t>
      </w:r>
      <w:r w:rsidR="006A0A5C">
        <w:rPr>
          <w:bCs/>
        </w:rPr>
        <w:t>, can</w:t>
      </w:r>
      <w:r w:rsidR="00612C8C">
        <w:rPr>
          <w:bCs/>
        </w:rPr>
        <w:t xml:space="preserve"> affect the potential</w:t>
      </w:r>
      <w:r w:rsidR="00E14880">
        <w:rPr>
          <w:bCs/>
        </w:rPr>
        <w:t xml:space="preserve"> liability of a design professional to an injured worker</w:t>
      </w:r>
      <w:r w:rsidR="00CA1E5E">
        <w:rPr>
          <w:bCs/>
        </w:rPr>
        <w:t>.</w:t>
      </w:r>
      <w:r w:rsidR="00B76152">
        <w:rPr>
          <w:bCs/>
        </w:rPr>
        <w:t xml:space="preserve"> The</w:t>
      </w:r>
      <w:r w:rsidR="008D3719">
        <w:rPr>
          <w:bCs/>
        </w:rPr>
        <w:t xml:space="preserve"> case</w:t>
      </w:r>
      <w:r w:rsidR="00294FDA">
        <w:rPr>
          <w:bCs/>
        </w:rPr>
        <w:t xml:space="preserve"> </w:t>
      </w:r>
      <w:r w:rsidR="009E7E51">
        <w:rPr>
          <w:bCs/>
        </w:rPr>
        <w:t>centers around</w:t>
      </w:r>
      <w:r w:rsidR="00294FDA">
        <w:rPr>
          <w:bCs/>
        </w:rPr>
        <w:t xml:space="preserve"> a contract for </w:t>
      </w:r>
      <w:r w:rsidR="00EC51C8">
        <w:rPr>
          <w:bCs/>
        </w:rPr>
        <w:t>the defendant</w:t>
      </w:r>
      <w:r w:rsidR="00294FDA">
        <w:rPr>
          <w:bCs/>
        </w:rPr>
        <w:t xml:space="preserve"> design firm to provide both architectural and engineering services</w:t>
      </w:r>
      <w:r w:rsidR="008D3719">
        <w:rPr>
          <w:bCs/>
        </w:rPr>
        <w:t xml:space="preserve"> </w:t>
      </w:r>
      <w:r w:rsidR="009E7E51">
        <w:rPr>
          <w:bCs/>
        </w:rPr>
        <w:t>for a boiler project</w:t>
      </w:r>
      <w:r w:rsidR="00770D78">
        <w:rPr>
          <w:bCs/>
        </w:rPr>
        <w:t xml:space="preserve">. The contract for design services </w:t>
      </w:r>
      <w:r w:rsidR="00ED5861">
        <w:rPr>
          <w:bCs/>
        </w:rPr>
        <w:t>call</w:t>
      </w:r>
      <w:r w:rsidR="00D3003C">
        <w:rPr>
          <w:bCs/>
        </w:rPr>
        <w:t>ed</w:t>
      </w:r>
      <w:r w:rsidR="00ED5861">
        <w:rPr>
          <w:bCs/>
        </w:rPr>
        <w:t xml:space="preserve"> for</w:t>
      </w:r>
      <w:r w:rsidR="00752F1E">
        <w:rPr>
          <w:bCs/>
        </w:rPr>
        <w:t xml:space="preserve"> the</w:t>
      </w:r>
      <w:r w:rsidR="00EC51C8">
        <w:rPr>
          <w:bCs/>
        </w:rPr>
        <w:t xml:space="preserve"> </w:t>
      </w:r>
      <w:r w:rsidR="00ED5861">
        <w:rPr>
          <w:bCs/>
        </w:rPr>
        <w:t xml:space="preserve">defendant </w:t>
      </w:r>
      <w:r w:rsidR="00EF1A67">
        <w:rPr>
          <w:bCs/>
        </w:rPr>
        <w:t>design firm</w:t>
      </w:r>
      <w:r w:rsidR="00EC51C8">
        <w:rPr>
          <w:bCs/>
        </w:rPr>
        <w:t xml:space="preserve"> </w:t>
      </w:r>
      <w:r w:rsidR="00ED5861">
        <w:rPr>
          <w:bCs/>
        </w:rPr>
        <w:t xml:space="preserve">to </w:t>
      </w:r>
      <w:r w:rsidR="00EF4616">
        <w:rPr>
          <w:bCs/>
        </w:rPr>
        <w:t>furnish</w:t>
      </w:r>
      <w:r w:rsidR="00911CC9">
        <w:rPr>
          <w:bCs/>
        </w:rPr>
        <w:t xml:space="preserve"> “performance specifications” </w:t>
      </w:r>
      <w:r w:rsidR="00DB238D">
        <w:rPr>
          <w:bCs/>
        </w:rPr>
        <w:t xml:space="preserve">to an HVAC contractor </w:t>
      </w:r>
      <w:r w:rsidR="00911CC9">
        <w:rPr>
          <w:bCs/>
        </w:rPr>
        <w:t xml:space="preserve">for </w:t>
      </w:r>
      <w:r w:rsidR="00527BBE">
        <w:rPr>
          <w:bCs/>
        </w:rPr>
        <w:t xml:space="preserve">a </w:t>
      </w:r>
      <w:r w:rsidR="00911CC9">
        <w:rPr>
          <w:bCs/>
        </w:rPr>
        <w:t>certain</w:t>
      </w:r>
      <w:r w:rsidR="00527BBE">
        <w:rPr>
          <w:bCs/>
        </w:rPr>
        <w:t xml:space="preserve"> system</w:t>
      </w:r>
      <w:r w:rsidR="00911CC9">
        <w:rPr>
          <w:bCs/>
        </w:rPr>
        <w:t xml:space="preserve"> </w:t>
      </w:r>
      <w:r w:rsidR="00DB238D">
        <w:rPr>
          <w:bCs/>
        </w:rPr>
        <w:t xml:space="preserve">for which the contractor would </w:t>
      </w:r>
      <w:r w:rsidR="00D3146C">
        <w:rPr>
          <w:bCs/>
        </w:rPr>
        <w:t>develop</w:t>
      </w:r>
      <w:r w:rsidR="00DB238D">
        <w:rPr>
          <w:bCs/>
        </w:rPr>
        <w:t xml:space="preserve"> the </w:t>
      </w:r>
      <w:r w:rsidR="00D16399">
        <w:rPr>
          <w:bCs/>
        </w:rPr>
        <w:t>final design. In other words, with respect to this specific system</w:t>
      </w:r>
      <w:r w:rsidR="00D656D2">
        <w:rPr>
          <w:bCs/>
        </w:rPr>
        <w:t xml:space="preserve"> for the project</w:t>
      </w:r>
      <w:r w:rsidR="00D16399">
        <w:rPr>
          <w:bCs/>
        </w:rPr>
        <w:t xml:space="preserve">, </w:t>
      </w:r>
      <w:r w:rsidR="00D366BB">
        <w:rPr>
          <w:bCs/>
        </w:rPr>
        <w:t xml:space="preserve">the defendant </w:t>
      </w:r>
      <w:r w:rsidR="006E40D5">
        <w:rPr>
          <w:bCs/>
        </w:rPr>
        <w:t xml:space="preserve">design firm </w:t>
      </w:r>
      <w:r w:rsidR="00D366BB">
        <w:rPr>
          <w:bCs/>
        </w:rPr>
        <w:t>did not provide complete design but only</w:t>
      </w:r>
      <w:r w:rsidR="0045407A">
        <w:rPr>
          <w:bCs/>
        </w:rPr>
        <w:t xml:space="preserve"> </w:t>
      </w:r>
      <w:r w:rsidR="00AF0D0B">
        <w:rPr>
          <w:bCs/>
        </w:rPr>
        <w:t>specified performance standards</w:t>
      </w:r>
      <w:r w:rsidR="002A4E96">
        <w:rPr>
          <w:bCs/>
        </w:rPr>
        <w:t xml:space="preserve"> </w:t>
      </w:r>
      <w:r w:rsidR="0045407A">
        <w:rPr>
          <w:bCs/>
        </w:rPr>
        <w:t>that</w:t>
      </w:r>
      <w:r w:rsidR="002A4E96">
        <w:rPr>
          <w:bCs/>
        </w:rPr>
        <w:t xml:space="preserve"> the</w:t>
      </w:r>
      <w:r w:rsidR="00E448DA">
        <w:rPr>
          <w:bCs/>
        </w:rPr>
        <w:t xml:space="preserve"> contractor’s </w:t>
      </w:r>
      <w:r w:rsidR="00E448DA">
        <w:rPr>
          <w:bCs/>
        </w:rPr>
        <w:lastRenderedPageBreak/>
        <w:t xml:space="preserve">detailed design </w:t>
      </w:r>
      <w:r w:rsidR="00013365">
        <w:rPr>
          <w:bCs/>
        </w:rPr>
        <w:t xml:space="preserve">would need to satisfy. In addition, however, the </w:t>
      </w:r>
      <w:r w:rsidR="00F3512F">
        <w:rPr>
          <w:bCs/>
        </w:rPr>
        <w:t xml:space="preserve">defendant design </w:t>
      </w:r>
      <w:r w:rsidR="004B1968">
        <w:rPr>
          <w:bCs/>
        </w:rPr>
        <w:t xml:space="preserve">firm’s contract provided for </w:t>
      </w:r>
      <w:r w:rsidR="006D373C">
        <w:rPr>
          <w:bCs/>
        </w:rPr>
        <w:t xml:space="preserve">the </w:t>
      </w:r>
      <w:r w:rsidR="004B1968">
        <w:rPr>
          <w:bCs/>
        </w:rPr>
        <w:t xml:space="preserve">firm to </w:t>
      </w:r>
      <w:r w:rsidR="004C432E">
        <w:rPr>
          <w:bCs/>
        </w:rPr>
        <w:t xml:space="preserve">review </w:t>
      </w:r>
      <w:r w:rsidR="00C07287">
        <w:rPr>
          <w:bCs/>
        </w:rPr>
        <w:t xml:space="preserve">certain design </w:t>
      </w:r>
      <w:r w:rsidR="00936653">
        <w:rPr>
          <w:bCs/>
        </w:rPr>
        <w:t>details</w:t>
      </w:r>
      <w:r w:rsidR="00C07287">
        <w:rPr>
          <w:bCs/>
        </w:rPr>
        <w:t xml:space="preserve"> for the system that the contractor</w:t>
      </w:r>
      <w:r w:rsidR="00F3512F">
        <w:rPr>
          <w:bCs/>
        </w:rPr>
        <w:t xml:space="preserve"> </w:t>
      </w:r>
      <w:r w:rsidR="00C07287">
        <w:rPr>
          <w:bCs/>
        </w:rPr>
        <w:t xml:space="preserve">prepared. </w:t>
      </w:r>
      <w:r w:rsidR="006E40D5">
        <w:rPr>
          <w:bCs/>
        </w:rPr>
        <w:t xml:space="preserve">As a result, the </w:t>
      </w:r>
      <w:r w:rsidR="00546DFF">
        <w:rPr>
          <w:bCs/>
        </w:rPr>
        <w:t xml:space="preserve">extent of the defendant design firm’s potential liability for an injury allegedly attributable to </w:t>
      </w:r>
      <w:r w:rsidR="00600685">
        <w:rPr>
          <w:bCs/>
        </w:rPr>
        <w:t>defects in the</w:t>
      </w:r>
      <w:r w:rsidR="004C75A5">
        <w:rPr>
          <w:bCs/>
        </w:rPr>
        <w:t xml:space="preserve"> system</w:t>
      </w:r>
      <w:r w:rsidR="00F97C8A">
        <w:rPr>
          <w:bCs/>
        </w:rPr>
        <w:t>’</w:t>
      </w:r>
      <w:r w:rsidR="004C75A5">
        <w:rPr>
          <w:bCs/>
        </w:rPr>
        <w:t>s</w:t>
      </w:r>
      <w:r w:rsidR="00600685">
        <w:rPr>
          <w:bCs/>
        </w:rPr>
        <w:t xml:space="preserve"> final design turn</w:t>
      </w:r>
      <w:r w:rsidR="00813B4C">
        <w:rPr>
          <w:bCs/>
        </w:rPr>
        <w:t>ed</w:t>
      </w:r>
      <w:r w:rsidR="00600685">
        <w:rPr>
          <w:bCs/>
        </w:rPr>
        <w:t xml:space="preserve"> on fact-intensive</w:t>
      </w:r>
      <w:r w:rsidR="00AA1A4F">
        <w:rPr>
          <w:bCs/>
        </w:rPr>
        <w:t xml:space="preserve"> questions of</w:t>
      </w:r>
      <w:r w:rsidR="00BE2BB2">
        <w:rPr>
          <w:bCs/>
        </w:rPr>
        <w:t xml:space="preserve"> professional</w:t>
      </w:r>
      <w:r w:rsidR="00AA1A4F">
        <w:rPr>
          <w:bCs/>
        </w:rPr>
        <w:t xml:space="preserve"> negligence and proximate cause</w:t>
      </w:r>
      <w:r w:rsidR="00600685">
        <w:rPr>
          <w:bCs/>
        </w:rPr>
        <w:t xml:space="preserve">. </w:t>
      </w:r>
    </w:p>
    <w:p w14:paraId="49D512F3" w14:textId="77777777" w:rsidR="00603445" w:rsidRDefault="00603445" w:rsidP="00340A57">
      <w:pPr>
        <w:keepNext/>
        <w:ind w:firstLine="720"/>
        <w:rPr>
          <w:bCs/>
        </w:rPr>
      </w:pPr>
    </w:p>
    <w:p w14:paraId="6521E663" w14:textId="1F477E12" w:rsidR="00CC0A36" w:rsidRDefault="00736779" w:rsidP="00340A57">
      <w:pPr>
        <w:keepNext/>
        <w:ind w:firstLine="720"/>
        <w:rPr>
          <w:bCs/>
        </w:rPr>
      </w:pPr>
      <w:r>
        <w:rPr>
          <w:bCs/>
        </w:rPr>
        <w:t>Legal</w:t>
      </w:r>
      <w:r w:rsidR="00EA17B3">
        <w:rPr>
          <w:bCs/>
        </w:rPr>
        <w:t xml:space="preserve"> issues, d</w:t>
      </w:r>
      <w:r w:rsidR="002D1E33">
        <w:rPr>
          <w:bCs/>
        </w:rPr>
        <w:t>isputes and claims relating to design services arise in many circumstances</w:t>
      </w:r>
      <w:r w:rsidR="00026B66">
        <w:rPr>
          <w:bCs/>
        </w:rPr>
        <w:t xml:space="preserve"> in addition to those </w:t>
      </w:r>
      <w:r w:rsidR="009B77ED">
        <w:rPr>
          <w:bCs/>
        </w:rPr>
        <w:t xml:space="preserve">mentioned in the assigned sections from the Bruner and O’Connor treatise and the three assigned cases. Indeed, </w:t>
      </w:r>
      <w:r w:rsidR="00C6218B">
        <w:rPr>
          <w:bCs/>
        </w:rPr>
        <w:t xml:space="preserve">Chapter 17 of </w:t>
      </w:r>
      <w:r w:rsidR="00EA17B3">
        <w:rPr>
          <w:bCs/>
        </w:rPr>
        <w:t>the Bruner and O’Conner treatise</w:t>
      </w:r>
      <w:r w:rsidR="00894AF4">
        <w:rPr>
          <w:bCs/>
        </w:rPr>
        <w:t>, of which the assigned sections are only a small part,</w:t>
      </w:r>
      <w:r w:rsidR="00EA17B3">
        <w:rPr>
          <w:bCs/>
        </w:rPr>
        <w:t xml:space="preserve"> </w:t>
      </w:r>
      <w:r w:rsidR="006575DF">
        <w:rPr>
          <w:bCs/>
        </w:rPr>
        <w:t>divides its coverage of the roles and responsibilities of design professionals into over 100</w:t>
      </w:r>
      <w:r w:rsidR="008C2D4F">
        <w:rPr>
          <w:bCs/>
        </w:rPr>
        <w:t xml:space="preserve"> topics.</w:t>
      </w:r>
      <w:r w:rsidR="007B4761">
        <w:rPr>
          <w:bCs/>
        </w:rPr>
        <w:t xml:space="preserve"> </w:t>
      </w:r>
      <w:r w:rsidR="003957A0">
        <w:rPr>
          <w:bCs/>
        </w:rPr>
        <w:t>T</w:t>
      </w:r>
      <w:r w:rsidR="007B4761">
        <w:rPr>
          <w:bCs/>
        </w:rPr>
        <w:t xml:space="preserve">his lesson’s selected reading assignments </w:t>
      </w:r>
      <w:r w:rsidR="00C74870">
        <w:rPr>
          <w:bCs/>
        </w:rPr>
        <w:t xml:space="preserve">merely </w:t>
      </w:r>
      <w:r w:rsidR="00344191">
        <w:rPr>
          <w:bCs/>
        </w:rPr>
        <w:t>alert you to the highly specialized law concerning design professionals and</w:t>
      </w:r>
      <w:r w:rsidR="00CE1E0A">
        <w:rPr>
          <w:bCs/>
        </w:rPr>
        <w:t xml:space="preserve"> their</w:t>
      </w:r>
      <w:r w:rsidR="00344191">
        <w:rPr>
          <w:bCs/>
        </w:rPr>
        <w:t xml:space="preserve"> services</w:t>
      </w:r>
      <w:r w:rsidR="002355EA">
        <w:rPr>
          <w:bCs/>
        </w:rPr>
        <w:t xml:space="preserve">. </w:t>
      </w:r>
    </w:p>
    <w:p w14:paraId="204A8B99" w14:textId="77777777" w:rsidR="008C2D4F" w:rsidRDefault="008C2D4F" w:rsidP="00340A57">
      <w:pPr>
        <w:keepNext/>
        <w:ind w:firstLine="720"/>
        <w:rPr>
          <w:bCs/>
        </w:rPr>
      </w:pPr>
    </w:p>
    <w:p w14:paraId="0105E22D" w14:textId="1418C50B" w:rsidR="00603445" w:rsidRDefault="002625F2" w:rsidP="002625F2">
      <w:pPr>
        <w:keepNext/>
        <w:rPr>
          <w:bCs/>
        </w:rPr>
      </w:pPr>
      <w:r>
        <w:rPr>
          <w:bCs/>
          <w:u w:val="single"/>
        </w:rPr>
        <w:t>For Review and Discussion</w:t>
      </w:r>
    </w:p>
    <w:p w14:paraId="1DB3C704" w14:textId="77777777" w:rsidR="002625F2" w:rsidRDefault="002625F2" w:rsidP="002625F2">
      <w:pPr>
        <w:keepNext/>
        <w:rPr>
          <w:bCs/>
        </w:rPr>
      </w:pPr>
    </w:p>
    <w:p w14:paraId="7241BEE0" w14:textId="7314170E" w:rsidR="002625F2" w:rsidRDefault="00BF4DBA" w:rsidP="002625F2">
      <w:pPr>
        <w:pStyle w:val="ListParagraph"/>
        <w:keepNext/>
        <w:numPr>
          <w:ilvl w:val="0"/>
          <w:numId w:val="3"/>
        </w:numPr>
        <w:rPr>
          <w:bCs/>
        </w:rPr>
      </w:pPr>
      <w:r>
        <w:rPr>
          <w:bCs/>
        </w:rPr>
        <w:t>Section 1.2 of AIA B101 provides that</w:t>
      </w:r>
      <w:r w:rsidR="00305F7B">
        <w:rPr>
          <w:bCs/>
        </w:rPr>
        <w:t>, subject to certain qualifications,</w:t>
      </w:r>
      <w:r>
        <w:rPr>
          <w:bCs/>
        </w:rPr>
        <w:t xml:space="preserve"> both the owner and the architect </w:t>
      </w:r>
      <w:r w:rsidR="00913194">
        <w:rPr>
          <w:bCs/>
        </w:rPr>
        <w:t>“may rely on the Initial Information</w:t>
      </w:r>
      <w:r w:rsidR="00305F7B">
        <w:rPr>
          <w:bCs/>
        </w:rPr>
        <w:t>.</w:t>
      </w:r>
      <w:r w:rsidR="00913194">
        <w:rPr>
          <w:bCs/>
        </w:rPr>
        <w:t>”</w:t>
      </w:r>
      <w:r w:rsidR="00F81547">
        <w:rPr>
          <w:bCs/>
        </w:rPr>
        <w:t xml:space="preserve"> In most circumstances, how important do you believe Section 1.2 is to the architect, and how important is it </w:t>
      </w:r>
      <w:r w:rsidR="00927C57">
        <w:rPr>
          <w:bCs/>
        </w:rPr>
        <w:t xml:space="preserve">to </w:t>
      </w:r>
      <w:r w:rsidR="00F81547">
        <w:rPr>
          <w:bCs/>
        </w:rPr>
        <w:t>the owner?</w:t>
      </w:r>
    </w:p>
    <w:p w14:paraId="07AD14E5" w14:textId="065E4B2F" w:rsidR="00A04C94" w:rsidRDefault="001F7A91" w:rsidP="002625F2">
      <w:pPr>
        <w:pStyle w:val="ListParagraph"/>
        <w:keepNext/>
        <w:numPr>
          <w:ilvl w:val="0"/>
          <w:numId w:val="3"/>
        </w:numPr>
        <w:rPr>
          <w:bCs/>
        </w:rPr>
      </w:pPr>
      <w:r>
        <w:rPr>
          <w:bCs/>
        </w:rPr>
        <w:t xml:space="preserve">The American Institute of Architects, </w:t>
      </w:r>
      <w:r w:rsidR="00BA34E3">
        <w:rPr>
          <w:bCs/>
        </w:rPr>
        <w:t xml:space="preserve">the </w:t>
      </w:r>
      <w:r w:rsidR="0068040F">
        <w:rPr>
          <w:bCs/>
        </w:rPr>
        <w:t>largest</w:t>
      </w:r>
      <w:r w:rsidR="00BA34E3">
        <w:rPr>
          <w:bCs/>
        </w:rPr>
        <w:t xml:space="preserve"> organization</w:t>
      </w:r>
      <w:r w:rsidR="00B40F1A">
        <w:rPr>
          <w:bCs/>
        </w:rPr>
        <w:t xml:space="preserve"> for architects in the nation</w:t>
      </w:r>
      <w:r w:rsidR="00BA34E3">
        <w:rPr>
          <w:bCs/>
        </w:rPr>
        <w:t xml:space="preserve">, promulgates </w:t>
      </w:r>
      <w:r>
        <w:rPr>
          <w:bCs/>
        </w:rPr>
        <w:t>AIA B101</w:t>
      </w:r>
      <w:r w:rsidR="00BA34E3">
        <w:rPr>
          <w:bCs/>
        </w:rPr>
        <w:t xml:space="preserve">. Do </w:t>
      </w:r>
      <w:r w:rsidR="00AA5E6E">
        <w:rPr>
          <w:bCs/>
        </w:rPr>
        <w:t xml:space="preserve">any provisions or approaches in </w:t>
      </w:r>
      <w:r w:rsidR="00226D11">
        <w:rPr>
          <w:bCs/>
        </w:rPr>
        <w:t>B101</w:t>
      </w:r>
      <w:r w:rsidR="00AA5E6E">
        <w:rPr>
          <w:bCs/>
        </w:rPr>
        <w:t xml:space="preserve"> see</w:t>
      </w:r>
      <w:r w:rsidR="003C00DE">
        <w:rPr>
          <w:bCs/>
        </w:rPr>
        <w:t>m</w:t>
      </w:r>
      <w:r w:rsidR="00AA5E6E">
        <w:rPr>
          <w:bCs/>
        </w:rPr>
        <w:t xml:space="preserve"> to unduly favor architects over the owner and other project participants?</w:t>
      </w:r>
    </w:p>
    <w:p w14:paraId="274050B3" w14:textId="7D1AED90" w:rsidR="00BB05E4" w:rsidRDefault="00D5459A" w:rsidP="002625F2">
      <w:pPr>
        <w:pStyle w:val="ListParagraph"/>
        <w:keepNext/>
        <w:numPr>
          <w:ilvl w:val="0"/>
          <w:numId w:val="3"/>
        </w:numPr>
        <w:rPr>
          <w:bCs/>
        </w:rPr>
      </w:pPr>
      <w:r>
        <w:rPr>
          <w:bCs/>
        </w:rPr>
        <w:t>In</w:t>
      </w:r>
      <w:r w:rsidR="002401CF">
        <w:rPr>
          <w:bCs/>
        </w:rPr>
        <w:t xml:space="preserve"> the situation</w:t>
      </w:r>
      <w:r w:rsidR="00BB4577">
        <w:rPr>
          <w:bCs/>
        </w:rPr>
        <w:t xml:space="preserve"> involved in</w:t>
      </w:r>
      <w:r>
        <w:rPr>
          <w:bCs/>
        </w:rPr>
        <w:t xml:space="preserve"> </w:t>
      </w:r>
      <w:r>
        <w:rPr>
          <w:bCs/>
          <w:i/>
          <w:iCs/>
        </w:rPr>
        <w:t>Caldwell v. Bechtel, Inc.</w:t>
      </w:r>
      <w:r>
        <w:rPr>
          <w:bCs/>
        </w:rPr>
        <w:t xml:space="preserve">, </w:t>
      </w:r>
      <w:r w:rsidR="00EC62B7">
        <w:rPr>
          <w:bCs/>
        </w:rPr>
        <w:t xml:space="preserve">assuming </w:t>
      </w:r>
      <w:r w:rsidR="00650F98">
        <w:rPr>
          <w:bCs/>
        </w:rPr>
        <w:t>a</w:t>
      </w:r>
      <w:r>
        <w:rPr>
          <w:bCs/>
        </w:rPr>
        <w:t xml:space="preserve"> </w:t>
      </w:r>
      <w:r w:rsidR="00EC62B7">
        <w:rPr>
          <w:bCs/>
        </w:rPr>
        <w:t>contract</w:t>
      </w:r>
      <w:r w:rsidR="00DD2ED6">
        <w:rPr>
          <w:bCs/>
        </w:rPr>
        <w:t xml:space="preserve"> </w:t>
      </w:r>
      <w:r w:rsidR="002401CF">
        <w:rPr>
          <w:bCs/>
        </w:rPr>
        <w:t>that</w:t>
      </w:r>
      <w:r w:rsidR="0074544D">
        <w:rPr>
          <w:bCs/>
        </w:rPr>
        <w:t xml:space="preserve"> obligated Bechtel to provide the same</w:t>
      </w:r>
      <w:r w:rsidR="00695E22">
        <w:rPr>
          <w:bCs/>
        </w:rPr>
        <w:t xml:space="preserve"> safety engineering services</w:t>
      </w:r>
      <w:r w:rsidR="0074544D">
        <w:rPr>
          <w:bCs/>
        </w:rPr>
        <w:t xml:space="preserve"> </w:t>
      </w:r>
      <w:r w:rsidR="00103026">
        <w:rPr>
          <w:bCs/>
        </w:rPr>
        <w:t xml:space="preserve">as described in the case, could Bechtel have included any provisions in </w:t>
      </w:r>
      <w:r w:rsidR="008D5EBB">
        <w:rPr>
          <w:bCs/>
        </w:rPr>
        <w:t>its</w:t>
      </w:r>
      <w:r w:rsidR="00103026">
        <w:rPr>
          <w:bCs/>
        </w:rPr>
        <w:t xml:space="preserve"> contract</w:t>
      </w:r>
      <w:r w:rsidR="00695E22">
        <w:rPr>
          <w:bCs/>
        </w:rPr>
        <w:t xml:space="preserve"> </w:t>
      </w:r>
      <w:r w:rsidR="000901FD">
        <w:rPr>
          <w:bCs/>
        </w:rPr>
        <w:t>that would have absolved it from a</w:t>
      </w:r>
      <w:r w:rsidR="008131F0">
        <w:rPr>
          <w:bCs/>
        </w:rPr>
        <w:t xml:space="preserve"> tort</w:t>
      </w:r>
      <w:r w:rsidR="000901FD">
        <w:rPr>
          <w:bCs/>
        </w:rPr>
        <w:t xml:space="preserve"> duty of care toward the plaintiff</w:t>
      </w:r>
      <w:r w:rsidR="00103026">
        <w:rPr>
          <w:bCs/>
        </w:rPr>
        <w:t>?</w:t>
      </w:r>
    </w:p>
    <w:p w14:paraId="0BA1F7EE" w14:textId="3BABFEDF" w:rsidR="008D5EBB" w:rsidRDefault="008D5EBB" w:rsidP="002625F2">
      <w:pPr>
        <w:pStyle w:val="ListParagraph"/>
        <w:keepNext/>
        <w:numPr>
          <w:ilvl w:val="0"/>
          <w:numId w:val="3"/>
        </w:numPr>
        <w:rPr>
          <w:bCs/>
        </w:rPr>
      </w:pPr>
      <w:r>
        <w:rPr>
          <w:bCs/>
        </w:rPr>
        <w:t>What is the precise holding of</w:t>
      </w:r>
      <w:r w:rsidR="0024227B">
        <w:rPr>
          <w:bCs/>
        </w:rPr>
        <w:t xml:space="preserve"> </w:t>
      </w:r>
      <w:r w:rsidR="00270234">
        <w:rPr>
          <w:bCs/>
        </w:rPr>
        <w:t xml:space="preserve">the </w:t>
      </w:r>
      <w:r w:rsidR="00270234" w:rsidRPr="00270234">
        <w:rPr>
          <w:bCs/>
          <w:i/>
          <w:iCs/>
        </w:rPr>
        <w:t>Demetro v. Dormitory Authority</w:t>
      </w:r>
      <w:r w:rsidR="00270234">
        <w:rPr>
          <w:bCs/>
        </w:rPr>
        <w:t xml:space="preserve"> opinion?</w:t>
      </w:r>
    </w:p>
    <w:p w14:paraId="6572F66C" w14:textId="2D3D3FDD" w:rsidR="00117AE3" w:rsidRPr="002625F2" w:rsidRDefault="00117AE3" w:rsidP="002625F2">
      <w:pPr>
        <w:pStyle w:val="ListParagraph"/>
        <w:keepNext/>
        <w:numPr>
          <w:ilvl w:val="0"/>
          <w:numId w:val="3"/>
        </w:numPr>
        <w:rPr>
          <w:bCs/>
        </w:rPr>
      </w:pPr>
      <w:r>
        <w:rPr>
          <w:bCs/>
        </w:rPr>
        <w:t>Section 3.6 of B101 vests the project architect with broad authority</w:t>
      </w:r>
      <w:r w:rsidR="006005E8">
        <w:rPr>
          <w:bCs/>
        </w:rPr>
        <w:t xml:space="preserve"> and responsibilities for contract administration during the construction phase. Are all the services the architect provides under </w:t>
      </w:r>
      <w:r w:rsidR="00137531">
        <w:rPr>
          <w:bCs/>
        </w:rPr>
        <w:t xml:space="preserve">section </w:t>
      </w:r>
      <w:r w:rsidR="006005E8">
        <w:rPr>
          <w:bCs/>
        </w:rPr>
        <w:t>3.6 professional services</w:t>
      </w:r>
      <w:r w:rsidR="00AC426D">
        <w:rPr>
          <w:bCs/>
        </w:rPr>
        <w:t xml:space="preserve"> that </w:t>
      </w:r>
      <w:r w:rsidR="00137531">
        <w:rPr>
          <w:bCs/>
        </w:rPr>
        <w:t>are subject to the professional malpractice standard of care</w:t>
      </w:r>
      <w:r w:rsidR="006005E8">
        <w:rPr>
          <w:bCs/>
        </w:rPr>
        <w:t xml:space="preserve">? </w:t>
      </w:r>
      <w:r w:rsidR="00137531">
        <w:rPr>
          <w:bCs/>
        </w:rPr>
        <w:t>Viewed from the perspective of the architect’s legal counsel, do any aspects of section 3.6</w:t>
      </w:r>
      <w:r w:rsidR="00787B05">
        <w:rPr>
          <w:bCs/>
        </w:rPr>
        <w:t xml:space="preserve"> potentially expose the architect to</w:t>
      </w:r>
      <w:r w:rsidR="00051CC7">
        <w:rPr>
          <w:bCs/>
        </w:rPr>
        <w:t xml:space="preserve"> </w:t>
      </w:r>
      <w:r w:rsidR="00787B05">
        <w:rPr>
          <w:bCs/>
        </w:rPr>
        <w:t>unacceptable</w:t>
      </w:r>
      <w:r w:rsidR="00051CC7">
        <w:rPr>
          <w:bCs/>
        </w:rPr>
        <w:t xml:space="preserve"> liability</w:t>
      </w:r>
      <w:r w:rsidR="00787B05">
        <w:rPr>
          <w:bCs/>
        </w:rPr>
        <w:t xml:space="preserve"> risks?</w:t>
      </w:r>
    </w:p>
    <w:p w14:paraId="564ACA66" w14:textId="77777777" w:rsidR="00173B6E" w:rsidRDefault="00173B6E" w:rsidP="00340A57">
      <w:pPr>
        <w:keepNext/>
        <w:ind w:firstLine="720"/>
        <w:rPr>
          <w:bCs/>
        </w:rPr>
      </w:pPr>
    </w:p>
    <w:p w14:paraId="4EC13D33" w14:textId="1C2A1C5B" w:rsidR="00173B6E" w:rsidRPr="005250EB" w:rsidRDefault="00173B6E" w:rsidP="00173B6E">
      <w:pPr>
        <w:keepNext/>
        <w:rPr>
          <w:iCs/>
        </w:rPr>
      </w:pPr>
    </w:p>
    <w:p w14:paraId="3820A946" w14:textId="77777777" w:rsidR="0019655F" w:rsidRPr="00F2305A" w:rsidRDefault="0019655F" w:rsidP="0019655F">
      <w:pPr>
        <w:keepNext/>
        <w:rPr>
          <w:b/>
        </w:rPr>
      </w:pPr>
    </w:p>
    <w:p w14:paraId="28CB5297" w14:textId="77777777" w:rsidR="0063344C" w:rsidRDefault="0063344C"/>
    <w:sectPr w:rsidR="0063344C" w:rsidSect="00FA71DF">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E1A84" w14:textId="77777777" w:rsidR="001A5C83" w:rsidRDefault="001A5C83" w:rsidP="0019655F">
      <w:r>
        <w:separator/>
      </w:r>
    </w:p>
  </w:endnote>
  <w:endnote w:type="continuationSeparator" w:id="0">
    <w:p w14:paraId="7FE91F4C" w14:textId="77777777" w:rsidR="001A5C83" w:rsidRDefault="001A5C83" w:rsidP="0019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900956"/>
      <w:docPartObj>
        <w:docPartGallery w:val="Page Numbers (Bottom of Page)"/>
        <w:docPartUnique/>
      </w:docPartObj>
    </w:sdtPr>
    <w:sdtContent>
      <w:p w14:paraId="561D536A" w14:textId="6901BC07" w:rsidR="00FA71DF" w:rsidRDefault="00FA71DF" w:rsidP="00153D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AE221E" w14:textId="77777777" w:rsidR="00FA71DF" w:rsidRDefault="00FA71DF" w:rsidP="00FA71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2126960"/>
      <w:docPartObj>
        <w:docPartGallery w:val="Page Numbers (Bottom of Page)"/>
        <w:docPartUnique/>
      </w:docPartObj>
    </w:sdtPr>
    <w:sdtContent>
      <w:p w14:paraId="26BF12D9" w14:textId="329CFCBE" w:rsidR="00FA71DF" w:rsidRDefault="00FA71DF" w:rsidP="00153D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386F1D" w14:textId="2400303A" w:rsidR="0019655F" w:rsidRDefault="636C9287" w:rsidP="00FA71DF">
    <w:pPr>
      <w:pStyle w:val="Footer"/>
      <w:ind w:right="360"/>
    </w:pPr>
    <w:r>
      <w:t xml:space="preserve">© Carl J. Circo 2024 </w:t>
    </w:r>
    <w:r w:rsidR="00FA71DF">
      <w:tab/>
    </w:r>
    <w:r w:rsidR="0019655F">
      <w:tab/>
    </w:r>
    <w:r w:rsidR="0019655F">
      <w:tab/>
    </w:r>
    <w:r w:rsidR="0019655F">
      <w:ptab w:relativeTo="margin" w:alignment="center" w:leader="none"/>
    </w:r>
    <w:r w:rsidR="0019655F">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F32D9" w14:textId="77777777" w:rsidR="001A5C83" w:rsidRDefault="001A5C83" w:rsidP="0019655F">
      <w:r>
        <w:separator/>
      </w:r>
    </w:p>
  </w:footnote>
  <w:footnote w:type="continuationSeparator" w:id="0">
    <w:p w14:paraId="2AD160A9" w14:textId="77777777" w:rsidR="001A5C83" w:rsidRDefault="001A5C83" w:rsidP="00196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E2C5B" w14:textId="25B4B5E8" w:rsidR="0019655F" w:rsidRDefault="0019655F">
    <w:pPr>
      <w:pStyle w:val="Header"/>
    </w:pPr>
    <w:r>
      <w:t>Work-in-progress, 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A7F"/>
    <w:multiLevelType w:val="hybridMultilevel"/>
    <w:tmpl w:val="FD403DC2"/>
    <w:lvl w:ilvl="0" w:tplc="04090001">
      <w:start w:val="1"/>
      <w:numFmt w:val="bullet"/>
      <w:lvlText w:val=""/>
      <w:lvlJc w:val="left"/>
      <w:pPr>
        <w:tabs>
          <w:tab w:val="num" w:pos="720"/>
        </w:tabs>
        <w:ind w:left="720" w:hanging="360"/>
      </w:pPr>
      <w:rPr>
        <w:rFonts w:ascii="Symbol" w:hAnsi="Symbol" w:hint="default"/>
      </w:rPr>
    </w:lvl>
    <w:lvl w:ilvl="1" w:tplc="8292AD9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1F366E"/>
    <w:multiLevelType w:val="hybridMultilevel"/>
    <w:tmpl w:val="973E8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2628D"/>
    <w:multiLevelType w:val="hybridMultilevel"/>
    <w:tmpl w:val="11B0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AC6A89"/>
    <w:multiLevelType w:val="hybridMultilevel"/>
    <w:tmpl w:val="640EE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12D227B"/>
    <w:multiLevelType w:val="hybridMultilevel"/>
    <w:tmpl w:val="0388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55406934">
    <w:abstractNumId w:val="0"/>
  </w:num>
  <w:num w:numId="2" w16cid:durableId="138881402">
    <w:abstractNumId w:val="4"/>
  </w:num>
  <w:num w:numId="3" w16cid:durableId="1286691426">
    <w:abstractNumId w:val="1"/>
  </w:num>
  <w:num w:numId="4" w16cid:durableId="977101495">
    <w:abstractNumId w:val="2"/>
  </w:num>
  <w:num w:numId="5" w16cid:durableId="1546218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55F"/>
    <w:rsid w:val="000009C4"/>
    <w:rsid w:val="00000D9B"/>
    <w:rsid w:val="0000170F"/>
    <w:rsid w:val="000027D7"/>
    <w:rsid w:val="000048F7"/>
    <w:rsid w:val="00004C28"/>
    <w:rsid w:val="000050F8"/>
    <w:rsid w:val="000057C1"/>
    <w:rsid w:val="00012D56"/>
    <w:rsid w:val="00013365"/>
    <w:rsid w:val="00014586"/>
    <w:rsid w:val="000154FB"/>
    <w:rsid w:val="000221B6"/>
    <w:rsid w:val="00026B66"/>
    <w:rsid w:val="000317FB"/>
    <w:rsid w:val="000433F0"/>
    <w:rsid w:val="00046800"/>
    <w:rsid w:val="00046EC1"/>
    <w:rsid w:val="0004760D"/>
    <w:rsid w:val="00051CC7"/>
    <w:rsid w:val="000612AD"/>
    <w:rsid w:val="00065069"/>
    <w:rsid w:val="00073F45"/>
    <w:rsid w:val="000755A6"/>
    <w:rsid w:val="000901FD"/>
    <w:rsid w:val="0009068B"/>
    <w:rsid w:val="000A0C74"/>
    <w:rsid w:val="000A10DB"/>
    <w:rsid w:val="000A1E7B"/>
    <w:rsid w:val="000A2A14"/>
    <w:rsid w:val="000B05BB"/>
    <w:rsid w:val="000D02A8"/>
    <w:rsid w:val="000D05CA"/>
    <w:rsid w:val="000D5173"/>
    <w:rsid w:val="000E40B5"/>
    <w:rsid w:val="000F13C5"/>
    <w:rsid w:val="000F1E25"/>
    <w:rsid w:val="000F5D98"/>
    <w:rsid w:val="00103026"/>
    <w:rsid w:val="001075ED"/>
    <w:rsid w:val="00113EDC"/>
    <w:rsid w:val="00117AE3"/>
    <w:rsid w:val="00123278"/>
    <w:rsid w:val="001317D5"/>
    <w:rsid w:val="001334E2"/>
    <w:rsid w:val="00134B9E"/>
    <w:rsid w:val="00137531"/>
    <w:rsid w:val="00141E97"/>
    <w:rsid w:val="00146218"/>
    <w:rsid w:val="00153B28"/>
    <w:rsid w:val="00160CE1"/>
    <w:rsid w:val="00160DB7"/>
    <w:rsid w:val="0016294F"/>
    <w:rsid w:val="00162BDB"/>
    <w:rsid w:val="0016500B"/>
    <w:rsid w:val="001655E1"/>
    <w:rsid w:val="00165D6C"/>
    <w:rsid w:val="00173B6E"/>
    <w:rsid w:val="0017692B"/>
    <w:rsid w:val="00182E8C"/>
    <w:rsid w:val="001836D4"/>
    <w:rsid w:val="001838C3"/>
    <w:rsid w:val="00195B9A"/>
    <w:rsid w:val="0019655F"/>
    <w:rsid w:val="001975A7"/>
    <w:rsid w:val="001976BF"/>
    <w:rsid w:val="001A1125"/>
    <w:rsid w:val="001A1B11"/>
    <w:rsid w:val="001A23D0"/>
    <w:rsid w:val="001A2AA9"/>
    <w:rsid w:val="001A5C83"/>
    <w:rsid w:val="001A69AF"/>
    <w:rsid w:val="001B2FE3"/>
    <w:rsid w:val="001C1082"/>
    <w:rsid w:val="001C3B90"/>
    <w:rsid w:val="001C449D"/>
    <w:rsid w:val="001C7F21"/>
    <w:rsid w:val="001D5291"/>
    <w:rsid w:val="001E11DF"/>
    <w:rsid w:val="001E2B1C"/>
    <w:rsid w:val="001E324C"/>
    <w:rsid w:val="001F7A91"/>
    <w:rsid w:val="00200429"/>
    <w:rsid w:val="00203C98"/>
    <w:rsid w:val="00206600"/>
    <w:rsid w:val="002079A8"/>
    <w:rsid w:val="00213073"/>
    <w:rsid w:val="002234FE"/>
    <w:rsid w:val="00224725"/>
    <w:rsid w:val="00226334"/>
    <w:rsid w:val="00226D11"/>
    <w:rsid w:val="00231672"/>
    <w:rsid w:val="002355EA"/>
    <w:rsid w:val="002401CF"/>
    <w:rsid w:val="0024227B"/>
    <w:rsid w:val="002449C2"/>
    <w:rsid w:val="00253C63"/>
    <w:rsid w:val="002625F2"/>
    <w:rsid w:val="00265DC7"/>
    <w:rsid w:val="00270234"/>
    <w:rsid w:val="00276C9C"/>
    <w:rsid w:val="00294FDA"/>
    <w:rsid w:val="00295954"/>
    <w:rsid w:val="002A1BBB"/>
    <w:rsid w:val="002A4E96"/>
    <w:rsid w:val="002A5823"/>
    <w:rsid w:val="002B4F5B"/>
    <w:rsid w:val="002C3560"/>
    <w:rsid w:val="002C53EF"/>
    <w:rsid w:val="002C749A"/>
    <w:rsid w:val="002D1E33"/>
    <w:rsid w:val="002D3449"/>
    <w:rsid w:val="002D43E0"/>
    <w:rsid w:val="002E679D"/>
    <w:rsid w:val="002F2A6D"/>
    <w:rsid w:val="002F2F78"/>
    <w:rsid w:val="002F620F"/>
    <w:rsid w:val="003012A0"/>
    <w:rsid w:val="00303657"/>
    <w:rsid w:val="00305BE1"/>
    <w:rsid w:val="00305F7B"/>
    <w:rsid w:val="00306D1E"/>
    <w:rsid w:val="00307167"/>
    <w:rsid w:val="00313934"/>
    <w:rsid w:val="00321D15"/>
    <w:rsid w:val="0032529D"/>
    <w:rsid w:val="00327E8E"/>
    <w:rsid w:val="00331779"/>
    <w:rsid w:val="00331DA5"/>
    <w:rsid w:val="00331DB8"/>
    <w:rsid w:val="00335485"/>
    <w:rsid w:val="00340A57"/>
    <w:rsid w:val="00344191"/>
    <w:rsid w:val="0034510F"/>
    <w:rsid w:val="00346DC2"/>
    <w:rsid w:val="0035198A"/>
    <w:rsid w:val="003524FA"/>
    <w:rsid w:val="00353387"/>
    <w:rsid w:val="0036022E"/>
    <w:rsid w:val="00360A39"/>
    <w:rsid w:val="0037335C"/>
    <w:rsid w:val="00373CC3"/>
    <w:rsid w:val="0037799A"/>
    <w:rsid w:val="00386E8B"/>
    <w:rsid w:val="00390973"/>
    <w:rsid w:val="00391F67"/>
    <w:rsid w:val="003957A0"/>
    <w:rsid w:val="003B5535"/>
    <w:rsid w:val="003C00DE"/>
    <w:rsid w:val="003C24A4"/>
    <w:rsid w:val="003C2615"/>
    <w:rsid w:val="003C2CD5"/>
    <w:rsid w:val="003C7730"/>
    <w:rsid w:val="003E0F88"/>
    <w:rsid w:val="003E200B"/>
    <w:rsid w:val="003E3B1F"/>
    <w:rsid w:val="003F24EC"/>
    <w:rsid w:val="003F2845"/>
    <w:rsid w:val="003F2F36"/>
    <w:rsid w:val="0040367C"/>
    <w:rsid w:val="004050E6"/>
    <w:rsid w:val="00420B03"/>
    <w:rsid w:val="004213B3"/>
    <w:rsid w:val="00436B5F"/>
    <w:rsid w:val="004436D3"/>
    <w:rsid w:val="00444C59"/>
    <w:rsid w:val="0044534F"/>
    <w:rsid w:val="0045407A"/>
    <w:rsid w:val="00454A0A"/>
    <w:rsid w:val="00473A69"/>
    <w:rsid w:val="00474F54"/>
    <w:rsid w:val="00480576"/>
    <w:rsid w:val="00486610"/>
    <w:rsid w:val="00486FB2"/>
    <w:rsid w:val="00495873"/>
    <w:rsid w:val="00497096"/>
    <w:rsid w:val="004A27EA"/>
    <w:rsid w:val="004A4F09"/>
    <w:rsid w:val="004A6260"/>
    <w:rsid w:val="004A6477"/>
    <w:rsid w:val="004B0BB3"/>
    <w:rsid w:val="004B1968"/>
    <w:rsid w:val="004B7515"/>
    <w:rsid w:val="004C16F8"/>
    <w:rsid w:val="004C1EE6"/>
    <w:rsid w:val="004C41BC"/>
    <w:rsid w:val="004C432E"/>
    <w:rsid w:val="004C5978"/>
    <w:rsid w:val="004C75A5"/>
    <w:rsid w:val="004C7782"/>
    <w:rsid w:val="004C7D36"/>
    <w:rsid w:val="004D1A54"/>
    <w:rsid w:val="004D3D50"/>
    <w:rsid w:val="004E3642"/>
    <w:rsid w:val="004F451F"/>
    <w:rsid w:val="004F4624"/>
    <w:rsid w:val="004F5E6F"/>
    <w:rsid w:val="004F7863"/>
    <w:rsid w:val="00504F8E"/>
    <w:rsid w:val="00505A18"/>
    <w:rsid w:val="00505AE3"/>
    <w:rsid w:val="005152DF"/>
    <w:rsid w:val="00520673"/>
    <w:rsid w:val="005250EB"/>
    <w:rsid w:val="00527BBE"/>
    <w:rsid w:val="00546DFF"/>
    <w:rsid w:val="00550741"/>
    <w:rsid w:val="0055617A"/>
    <w:rsid w:val="00563DDC"/>
    <w:rsid w:val="00564984"/>
    <w:rsid w:val="0058245D"/>
    <w:rsid w:val="00583047"/>
    <w:rsid w:val="00586356"/>
    <w:rsid w:val="00590425"/>
    <w:rsid w:val="0059144D"/>
    <w:rsid w:val="00591D64"/>
    <w:rsid w:val="005A7A00"/>
    <w:rsid w:val="005B059C"/>
    <w:rsid w:val="005B3DA4"/>
    <w:rsid w:val="005C181E"/>
    <w:rsid w:val="005C30B8"/>
    <w:rsid w:val="005C5454"/>
    <w:rsid w:val="005C670A"/>
    <w:rsid w:val="005D0014"/>
    <w:rsid w:val="005D218D"/>
    <w:rsid w:val="005D25B2"/>
    <w:rsid w:val="005E0A99"/>
    <w:rsid w:val="005E2BC2"/>
    <w:rsid w:val="005F781E"/>
    <w:rsid w:val="006005E8"/>
    <w:rsid w:val="00600685"/>
    <w:rsid w:val="00603445"/>
    <w:rsid w:val="00604256"/>
    <w:rsid w:val="00612C8C"/>
    <w:rsid w:val="00613B34"/>
    <w:rsid w:val="006237F0"/>
    <w:rsid w:val="0063017A"/>
    <w:rsid w:val="006311B4"/>
    <w:rsid w:val="00631377"/>
    <w:rsid w:val="006319BB"/>
    <w:rsid w:val="0063344C"/>
    <w:rsid w:val="0063421C"/>
    <w:rsid w:val="00635D2C"/>
    <w:rsid w:val="006404C4"/>
    <w:rsid w:val="00650F98"/>
    <w:rsid w:val="006575DF"/>
    <w:rsid w:val="00663A10"/>
    <w:rsid w:val="0066488B"/>
    <w:rsid w:val="00673682"/>
    <w:rsid w:val="0068040F"/>
    <w:rsid w:val="00691927"/>
    <w:rsid w:val="006940CA"/>
    <w:rsid w:val="00695E22"/>
    <w:rsid w:val="006A0A5C"/>
    <w:rsid w:val="006A14DE"/>
    <w:rsid w:val="006A3654"/>
    <w:rsid w:val="006A4586"/>
    <w:rsid w:val="006A4BDE"/>
    <w:rsid w:val="006A4C6A"/>
    <w:rsid w:val="006B1225"/>
    <w:rsid w:val="006B354B"/>
    <w:rsid w:val="006B5C1D"/>
    <w:rsid w:val="006B5CF4"/>
    <w:rsid w:val="006C66EC"/>
    <w:rsid w:val="006C7A8F"/>
    <w:rsid w:val="006D35E4"/>
    <w:rsid w:val="006D373C"/>
    <w:rsid w:val="006D3ED4"/>
    <w:rsid w:val="006D5C56"/>
    <w:rsid w:val="006E40D5"/>
    <w:rsid w:val="006F1185"/>
    <w:rsid w:val="006F4DAC"/>
    <w:rsid w:val="006F6D78"/>
    <w:rsid w:val="00700989"/>
    <w:rsid w:val="00704A1E"/>
    <w:rsid w:val="00705D46"/>
    <w:rsid w:val="0070750D"/>
    <w:rsid w:val="0070790D"/>
    <w:rsid w:val="00707B6B"/>
    <w:rsid w:val="007111B6"/>
    <w:rsid w:val="00711F15"/>
    <w:rsid w:val="00717CDA"/>
    <w:rsid w:val="00720D72"/>
    <w:rsid w:val="00723A08"/>
    <w:rsid w:val="00724322"/>
    <w:rsid w:val="00736779"/>
    <w:rsid w:val="00740838"/>
    <w:rsid w:val="0074544D"/>
    <w:rsid w:val="00747FEC"/>
    <w:rsid w:val="00750894"/>
    <w:rsid w:val="00752F1E"/>
    <w:rsid w:val="00754B7B"/>
    <w:rsid w:val="007625B1"/>
    <w:rsid w:val="0076565A"/>
    <w:rsid w:val="00770D78"/>
    <w:rsid w:val="00772FBB"/>
    <w:rsid w:val="0077444F"/>
    <w:rsid w:val="007766A5"/>
    <w:rsid w:val="00777E04"/>
    <w:rsid w:val="00780102"/>
    <w:rsid w:val="0078030A"/>
    <w:rsid w:val="00782557"/>
    <w:rsid w:val="00784027"/>
    <w:rsid w:val="00787B05"/>
    <w:rsid w:val="00790252"/>
    <w:rsid w:val="00794181"/>
    <w:rsid w:val="00794885"/>
    <w:rsid w:val="00796367"/>
    <w:rsid w:val="007A7287"/>
    <w:rsid w:val="007B1BE8"/>
    <w:rsid w:val="007B2AD3"/>
    <w:rsid w:val="007B4761"/>
    <w:rsid w:val="007C6AAC"/>
    <w:rsid w:val="007D4217"/>
    <w:rsid w:val="007D5FB9"/>
    <w:rsid w:val="007D6DF4"/>
    <w:rsid w:val="007E4641"/>
    <w:rsid w:val="007E5363"/>
    <w:rsid w:val="007F2CC1"/>
    <w:rsid w:val="00812E38"/>
    <w:rsid w:val="008131F0"/>
    <w:rsid w:val="0081340A"/>
    <w:rsid w:val="00813B4C"/>
    <w:rsid w:val="00814474"/>
    <w:rsid w:val="00830C7E"/>
    <w:rsid w:val="00843853"/>
    <w:rsid w:val="00843950"/>
    <w:rsid w:val="00845B21"/>
    <w:rsid w:val="008510F5"/>
    <w:rsid w:val="00852BF0"/>
    <w:rsid w:val="00860AEB"/>
    <w:rsid w:val="00863861"/>
    <w:rsid w:val="00865F64"/>
    <w:rsid w:val="00867991"/>
    <w:rsid w:val="0087304C"/>
    <w:rsid w:val="008744CD"/>
    <w:rsid w:val="0087760B"/>
    <w:rsid w:val="0088371E"/>
    <w:rsid w:val="00887BFD"/>
    <w:rsid w:val="00891D91"/>
    <w:rsid w:val="00894423"/>
    <w:rsid w:val="00894AF4"/>
    <w:rsid w:val="008B0CAE"/>
    <w:rsid w:val="008B4108"/>
    <w:rsid w:val="008C1530"/>
    <w:rsid w:val="008C2D4F"/>
    <w:rsid w:val="008D23A5"/>
    <w:rsid w:val="008D3154"/>
    <w:rsid w:val="008D3719"/>
    <w:rsid w:val="008D467F"/>
    <w:rsid w:val="008D485A"/>
    <w:rsid w:val="008D5EBB"/>
    <w:rsid w:val="008D6970"/>
    <w:rsid w:val="008E2BE5"/>
    <w:rsid w:val="008E2FA7"/>
    <w:rsid w:val="008E3EEB"/>
    <w:rsid w:val="008E6AD3"/>
    <w:rsid w:val="008F3258"/>
    <w:rsid w:val="008F5492"/>
    <w:rsid w:val="00901141"/>
    <w:rsid w:val="00905BD7"/>
    <w:rsid w:val="00905F24"/>
    <w:rsid w:val="00911CC9"/>
    <w:rsid w:val="0091237A"/>
    <w:rsid w:val="00913194"/>
    <w:rsid w:val="00923AA0"/>
    <w:rsid w:val="00925E6C"/>
    <w:rsid w:val="009269C7"/>
    <w:rsid w:val="00927C57"/>
    <w:rsid w:val="00930AE8"/>
    <w:rsid w:val="0093478E"/>
    <w:rsid w:val="009357B7"/>
    <w:rsid w:val="00936653"/>
    <w:rsid w:val="00944C6E"/>
    <w:rsid w:val="0094700E"/>
    <w:rsid w:val="00953F6B"/>
    <w:rsid w:val="0096304A"/>
    <w:rsid w:val="00963EE0"/>
    <w:rsid w:val="009643AB"/>
    <w:rsid w:val="009676BF"/>
    <w:rsid w:val="0097137E"/>
    <w:rsid w:val="0097330A"/>
    <w:rsid w:val="009750C6"/>
    <w:rsid w:val="0098434C"/>
    <w:rsid w:val="009854E4"/>
    <w:rsid w:val="0098785F"/>
    <w:rsid w:val="00990022"/>
    <w:rsid w:val="009978B8"/>
    <w:rsid w:val="00997D26"/>
    <w:rsid w:val="009A3287"/>
    <w:rsid w:val="009B3883"/>
    <w:rsid w:val="009B77C4"/>
    <w:rsid w:val="009B77ED"/>
    <w:rsid w:val="009D2BC8"/>
    <w:rsid w:val="009D4A4A"/>
    <w:rsid w:val="009E4FC5"/>
    <w:rsid w:val="009E7E51"/>
    <w:rsid w:val="009F3782"/>
    <w:rsid w:val="00A04C94"/>
    <w:rsid w:val="00A067E6"/>
    <w:rsid w:val="00A076A6"/>
    <w:rsid w:val="00A17A0E"/>
    <w:rsid w:val="00A21EAD"/>
    <w:rsid w:val="00A23081"/>
    <w:rsid w:val="00A253E6"/>
    <w:rsid w:val="00A26A70"/>
    <w:rsid w:val="00A33B93"/>
    <w:rsid w:val="00A37A4E"/>
    <w:rsid w:val="00A42537"/>
    <w:rsid w:val="00A47C35"/>
    <w:rsid w:val="00A52618"/>
    <w:rsid w:val="00A537EA"/>
    <w:rsid w:val="00A6139B"/>
    <w:rsid w:val="00A6269B"/>
    <w:rsid w:val="00A65B96"/>
    <w:rsid w:val="00A72BF1"/>
    <w:rsid w:val="00A73109"/>
    <w:rsid w:val="00A74EA0"/>
    <w:rsid w:val="00A756F6"/>
    <w:rsid w:val="00A76CB8"/>
    <w:rsid w:val="00A77BFD"/>
    <w:rsid w:val="00A801C4"/>
    <w:rsid w:val="00A87907"/>
    <w:rsid w:val="00A91760"/>
    <w:rsid w:val="00A96434"/>
    <w:rsid w:val="00A96B50"/>
    <w:rsid w:val="00AA1A4F"/>
    <w:rsid w:val="00AA39F6"/>
    <w:rsid w:val="00AA5E6E"/>
    <w:rsid w:val="00AA617E"/>
    <w:rsid w:val="00AA62A6"/>
    <w:rsid w:val="00AB1B9A"/>
    <w:rsid w:val="00AB5AD6"/>
    <w:rsid w:val="00AB790A"/>
    <w:rsid w:val="00AC22AF"/>
    <w:rsid w:val="00AC33AA"/>
    <w:rsid w:val="00AC426D"/>
    <w:rsid w:val="00AC46D9"/>
    <w:rsid w:val="00AC5A13"/>
    <w:rsid w:val="00AC660F"/>
    <w:rsid w:val="00AC7A61"/>
    <w:rsid w:val="00AD2863"/>
    <w:rsid w:val="00AE0160"/>
    <w:rsid w:val="00AE1565"/>
    <w:rsid w:val="00AE1DCB"/>
    <w:rsid w:val="00AE32F3"/>
    <w:rsid w:val="00AE7025"/>
    <w:rsid w:val="00AF06B1"/>
    <w:rsid w:val="00AF0D0B"/>
    <w:rsid w:val="00AF1B6E"/>
    <w:rsid w:val="00AF45A3"/>
    <w:rsid w:val="00AF5D79"/>
    <w:rsid w:val="00AF760D"/>
    <w:rsid w:val="00B0381F"/>
    <w:rsid w:val="00B03B6D"/>
    <w:rsid w:val="00B04BC9"/>
    <w:rsid w:val="00B1398E"/>
    <w:rsid w:val="00B170EE"/>
    <w:rsid w:val="00B2370A"/>
    <w:rsid w:val="00B2531E"/>
    <w:rsid w:val="00B27365"/>
    <w:rsid w:val="00B40E08"/>
    <w:rsid w:val="00B40F1A"/>
    <w:rsid w:val="00B40FB7"/>
    <w:rsid w:val="00B416AD"/>
    <w:rsid w:val="00B42332"/>
    <w:rsid w:val="00B44DA7"/>
    <w:rsid w:val="00B60C98"/>
    <w:rsid w:val="00B63F31"/>
    <w:rsid w:val="00B76152"/>
    <w:rsid w:val="00B86A60"/>
    <w:rsid w:val="00B92632"/>
    <w:rsid w:val="00B94180"/>
    <w:rsid w:val="00BA2797"/>
    <w:rsid w:val="00BA34E3"/>
    <w:rsid w:val="00BA5805"/>
    <w:rsid w:val="00BB05E4"/>
    <w:rsid w:val="00BB4577"/>
    <w:rsid w:val="00BB6D05"/>
    <w:rsid w:val="00BB74C4"/>
    <w:rsid w:val="00BC1BF3"/>
    <w:rsid w:val="00BC6175"/>
    <w:rsid w:val="00BD61AD"/>
    <w:rsid w:val="00BE0443"/>
    <w:rsid w:val="00BE0CF9"/>
    <w:rsid w:val="00BE1115"/>
    <w:rsid w:val="00BE2BB2"/>
    <w:rsid w:val="00BE32A8"/>
    <w:rsid w:val="00BF4DBA"/>
    <w:rsid w:val="00BF58D6"/>
    <w:rsid w:val="00BF5A18"/>
    <w:rsid w:val="00BF6CC5"/>
    <w:rsid w:val="00BF7741"/>
    <w:rsid w:val="00C01E3F"/>
    <w:rsid w:val="00C07287"/>
    <w:rsid w:val="00C10DEC"/>
    <w:rsid w:val="00C11066"/>
    <w:rsid w:val="00C173FD"/>
    <w:rsid w:val="00C2185A"/>
    <w:rsid w:val="00C260A3"/>
    <w:rsid w:val="00C26CCF"/>
    <w:rsid w:val="00C33496"/>
    <w:rsid w:val="00C604C5"/>
    <w:rsid w:val="00C6218B"/>
    <w:rsid w:val="00C66558"/>
    <w:rsid w:val="00C70A3E"/>
    <w:rsid w:val="00C73A22"/>
    <w:rsid w:val="00C74870"/>
    <w:rsid w:val="00C7566D"/>
    <w:rsid w:val="00C756CE"/>
    <w:rsid w:val="00C75FEC"/>
    <w:rsid w:val="00C77B4D"/>
    <w:rsid w:val="00C8206D"/>
    <w:rsid w:val="00C9135C"/>
    <w:rsid w:val="00C962DF"/>
    <w:rsid w:val="00CA1AE6"/>
    <w:rsid w:val="00CA1E5E"/>
    <w:rsid w:val="00CA2246"/>
    <w:rsid w:val="00CB0F4A"/>
    <w:rsid w:val="00CB110F"/>
    <w:rsid w:val="00CB1DB8"/>
    <w:rsid w:val="00CB23EE"/>
    <w:rsid w:val="00CB3808"/>
    <w:rsid w:val="00CC0A36"/>
    <w:rsid w:val="00CC0EC6"/>
    <w:rsid w:val="00CC153D"/>
    <w:rsid w:val="00CD3B80"/>
    <w:rsid w:val="00CD4018"/>
    <w:rsid w:val="00CD44E8"/>
    <w:rsid w:val="00CE1E0A"/>
    <w:rsid w:val="00CE782E"/>
    <w:rsid w:val="00CF164F"/>
    <w:rsid w:val="00D06777"/>
    <w:rsid w:val="00D0774F"/>
    <w:rsid w:val="00D16399"/>
    <w:rsid w:val="00D17314"/>
    <w:rsid w:val="00D17354"/>
    <w:rsid w:val="00D2083B"/>
    <w:rsid w:val="00D21CE7"/>
    <w:rsid w:val="00D26D52"/>
    <w:rsid w:val="00D3003C"/>
    <w:rsid w:val="00D3146C"/>
    <w:rsid w:val="00D31E77"/>
    <w:rsid w:val="00D366BB"/>
    <w:rsid w:val="00D42A53"/>
    <w:rsid w:val="00D51DB9"/>
    <w:rsid w:val="00D52D58"/>
    <w:rsid w:val="00D5459A"/>
    <w:rsid w:val="00D655CD"/>
    <w:rsid w:val="00D656D2"/>
    <w:rsid w:val="00D67912"/>
    <w:rsid w:val="00D7092B"/>
    <w:rsid w:val="00D70F9B"/>
    <w:rsid w:val="00D83793"/>
    <w:rsid w:val="00D92AA5"/>
    <w:rsid w:val="00D956AC"/>
    <w:rsid w:val="00DA4124"/>
    <w:rsid w:val="00DA7F82"/>
    <w:rsid w:val="00DB106B"/>
    <w:rsid w:val="00DB238D"/>
    <w:rsid w:val="00DB3F57"/>
    <w:rsid w:val="00DC21AE"/>
    <w:rsid w:val="00DC6989"/>
    <w:rsid w:val="00DD18BB"/>
    <w:rsid w:val="00DD2ED6"/>
    <w:rsid w:val="00DD3E95"/>
    <w:rsid w:val="00DD680B"/>
    <w:rsid w:val="00DE4DD6"/>
    <w:rsid w:val="00DF1769"/>
    <w:rsid w:val="00DF19D3"/>
    <w:rsid w:val="00DF1A93"/>
    <w:rsid w:val="00DF5A11"/>
    <w:rsid w:val="00DF61C5"/>
    <w:rsid w:val="00E003C7"/>
    <w:rsid w:val="00E03182"/>
    <w:rsid w:val="00E14880"/>
    <w:rsid w:val="00E15799"/>
    <w:rsid w:val="00E205FB"/>
    <w:rsid w:val="00E20FBF"/>
    <w:rsid w:val="00E21E6D"/>
    <w:rsid w:val="00E2306B"/>
    <w:rsid w:val="00E24427"/>
    <w:rsid w:val="00E25AFB"/>
    <w:rsid w:val="00E276BA"/>
    <w:rsid w:val="00E31C89"/>
    <w:rsid w:val="00E33D86"/>
    <w:rsid w:val="00E34E1A"/>
    <w:rsid w:val="00E364EE"/>
    <w:rsid w:val="00E42177"/>
    <w:rsid w:val="00E448DA"/>
    <w:rsid w:val="00E50364"/>
    <w:rsid w:val="00E52F27"/>
    <w:rsid w:val="00E5726F"/>
    <w:rsid w:val="00E61920"/>
    <w:rsid w:val="00E641F4"/>
    <w:rsid w:val="00E70519"/>
    <w:rsid w:val="00E74E1F"/>
    <w:rsid w:val="00E83FF0"/>
    <w:rsid w:val="00E86F4C"/>
    <w:rsid w:val="00E90768"/>
    <w:rsid w:val="00EA17B3"/>
    <w:rsid w:val="00EA1CB3"/>
    <w:rsid w:val="00EA436A"/>
    <w:rsid w:val="00EA49FA"/>
    <w:rsid w:val="00EA6821"/>
    <w:rsid w:val="00EB0963"/>
    <w:rsid w:val="00EB0C93"/>
    <w:rsid w:val="00EC51C8"/>
    <w:rsid w:val="00EC54A7"/>
    <w:rsid w:val="00EC62B7"/>
    <w:rsid w:val="00ED37F4"/>
    <w:rsid w:val="00ED3AA7"/>
    <w:rsid w:val="00ED4096"/>
    <w:rsid w:val="00ED5861"/>
    <w:rsid w:val="00EE2C3E"/>
    <w:rsid w:val="00EE6788"/>
    <w:rsid w:val="00EE6875"/>
    <w:rsid w:val="00EF1A67"/>
    <w:rsid w:val="00EF4616"/>
    <w:rsid w:val="00F05C16"/>
    <w:rsid w:val="00F12F6D"/>
    <w:rsid w:val="00F14677"/>
    <w:rsid w:val="00F20CAF"/>
    <w:rsid w:val="00F21811"/>
    <w:rsid w:val="00F21C18"/>
    <w:rsid w:val="00F22A75"/>
    <w:rsid w:val="00F30214"/>
    <w:rsid w:val="00F30AAD"/>
    <w:rsid w:val="00F3512F"/>
    <w:rsid w:val="00F42218"/>
    <w:rsid w:val="00F444A4"/>
    <w:rsid w:val="00F458A6"/>
    <w:rsid w:val="00F657A6"/>
    <w:rsid w:val="00F70536"/>
    <w:rsid w:val="00F80BFF"/>
    <w:rsid w:val="00F81547"/>
    <w:rsid w:val="00F86B4E"/>
    <w:rsid w:val="00F87757"/>
    <w:rsid w:val="00F97C8A"/>
    <w:rsid w:val="00F97E26"/>
    <w:rsid w:val="00FA2989"/>
    <w:rsid w:val="00FA71DF"/>
    <w:rsid w:val="00FB1465"/>
    <w:rsid w:val="00FB69BC"/>
    <w:rsid w:val="00FB71A8"/>
    <w:rsid w:val="00FC071F"/>
    <w:rsid w:val="00FC3F0E"/>
    <w:rsid w:val="00FC50A3"/>
    <w:rsid w:val="00FC6645"/>
    <w:rsid w:val="00FD34A3"/>
    <w:rsid w:val="00FD7100"/>
    <w:rsid w:val="00FE2C98"/>
    <w:rsid w:val="00FE4DF5"/>
    <w:rsid w:val="00FE5928"/>
    <w:rsid w:val="00FE5D15"/>
    <w:rsid w:val="00FF1F19"/>
    <w:rsid w:val="00FF5958"/>
    <w:rsid w:val="47636004"/>
    <w:rsid w:val="636C9287"/>
    <w:rsid w:val="7BD86B39"/>
    <w:rsid w:val="7D77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27D0"/>
  <w15:chartTrackingRefBased/>
  <w15:docId w15:val="{597BD936-82CD-4CA5-9274-68A5F3D9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HAns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5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9655F"/>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655F"/>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65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5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9655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9655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9655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9655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9655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55F"/>
    <w:rPr>
      <w:rFonts w:eastAsiaTheme="majorEastAsia"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655F"/>
    <w:rPr>
      <w:rFonts w:eastAsiaTheme="majorEastAsia"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655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55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9655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9655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9655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9655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9655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9655F"/>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9655F"/>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1965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55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9655F"/>
    <w:pPr>
      <w:spacing w:before="160"/>
      <w:jc w:val="center"/>
    </w:pPr>
    <w:rPr>
      <w:i/>
      <w:iCs/>
      <w:color w:val="404040" w:themeColor="text1" w:themeTint="BF"/>
    </w:rPr>
  </w:style>
  <w:style w:type="character" w:customStyle="1" w:styleId="QuoteChar">
    <w:name w:val="Quote Char"/>
    <w:basedOn w:val="DefaultParagraphFont"/>
    <w:link w:val="Quote"/>
    <w:uiPriority w:val="29"/>
    <w:rsid w:val="0019655F"/>
    <w:rPr>
      <w:i/>
      <w:iCs/>
      <w:color w:val="404040" w:themeColor="text1" w:themeTint="BF"/>
    </w:rPr>
  </w:style>
  <w:style w:type="paragraph" w:styleId="ListParagraph">
    <w:name w:val="List Paragraph"/>
    <w:basedOn w:val="Normal"/>
    <w:uiPriority w:val="34"/>
    <w:qFormat/>
    <w:rsid w:val="0019655F"/>
    <w:pPr>
      <w:ind w:left="720"/>
      <w:contextualSpacing/>
    </w:pPr>
  </w:style>
  <w:style w:type="character" w:styleId="IntenseEmphasis">
    <w:name w:val="Intense Emphasis"/>
    <w:basedOn w:val="DefaultParagraphFont"/>
    <w:uiPriority w:val="21"/>
    <w:qFormat/>
    <w:rsid w:val="0019655F"/>
    <w:rPr>
      <w:i/>
      <w:iCs/>
      <w:color w:val="0F4761" w:themeColor="accent1" w:themeShade="BF"/>
    </w:rPr>
  </w:style>
  <w:style w:type="paragraph" w:styleId="IntenseQuote">
    <w:name w:val="Intense Quote"/>
    <w:basedOn w:val="Normal"/>
    <w:next w:val="Normal"/>
    <w:link w:val="IntenseQuoteChar"/>
    <w:uiPriority w:val="30"/>
    <w:qFormat/>
    <w:rsid w:val="00196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55F"/>
    <w:rPr>
      <w:i/>
      <w:iCs/>
      <w:color w:val="0F4761" w:themeColor="accent1" w:themeShade="BF"/>
    </w:rPr>
  </w:style>
  <w:style w:type="character" w:styleId="IntenseReference">
    <w:name w:val="Intense Reference"/>
    <w:basedOn w:val="DefaultParagraphFont"/>
    <w:uiPriority w:val="32"/>
    <w:qFormat/>
    <w:rsid w:val="0019655F"/>
    <w:rPr>
      <w:b/>
      <w:bCs/>
      <w:smallCaps/>
      <w:color w:val="0F4761" w:themeColor="accent1" w:themeShade="BF"/>
      <w:spacing w:val="5"/>
    </w:rPr>
  </w:style>
  <w:style w:type="paragraph" w:styleId="Header">
    <w:name w:val="header"/>
    <w:basedOn w:val="Normal"/>
    <w:link w:val="HeaderChar"/>
    <w:uiPriority w:val="99"/>
    <w:unhideWhenUsed/>
    <w:rsid w:val="0019655F"/>
    <w:pPr>
      <w:tabs>
        <w:tab w:val="center" w:pos="4680"/>
        <w:tab w:val="right" w:pos="9360"/>
      </w:tabs>
    </w:pPr>
  </w:style>
  <w:style w:type="character" w:customStyle="1" w:styleId="HeaderChar">
    <w:name w:val="Header Char"/>
    <w:basedOn w:val="DefaultParagraphFont"/>
    <w:link w:val="Header"/>
    <w:uiPriority w:val="99"/>
    <w:rsid w:val="0019655F"/>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19655F"/>
    <w:pPr>
      <w:tabs>
        <w:tab w:val="center" w:pos="4680"/>
        <w:tab w:val="right" w:pos="9360"/>
      </w:tabs>
    </w:pPr>
  </w:style>
  <w:style w:type="character" w:customStyle="1" w:styleId="FooterChar">
    <w:name w:val="Footer Char"/>
    <w:basedOn w:val="DefaultParagraphFont"/>
    <w:link w:val="Footer"/>
    <w:uiPriority w:val="99"/>
    <w:rsid w:val="0019655F"/>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FA7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2373">
      <w:bodyDiv w:val="1"/>
      <w:marLeft w:val="0"/>
      <w:marRight w:val="0"/>
      <w:marTop w:val="0"/>
      <w:marBottom w:val="0"/>
      <w:divBdr>
        <w:top w:val="none" w:sz="0" w:space="0" w:color="auto"/>
        <w:left w:val="none" w:sz="0" w:space="0" w:color="auto"/>
        <w:bottom w:val="none" w:sz="0" w:space="0" w:color="auto"/>
        <w:right w:val="none" w:sz="0" w:space="0" w:color="auto"/>
      </w:divBdr>
      <w:divsChild>
        <w:div w:id="188489530">
          <w:marLeft w:val="0"/>
          <w:marRight w:val="0"/>
          <w:marTop w:val="0"/>
          <w:marBottom w:val="0"/>
          <w:divBdr>
            <w:top w:val="none" w:sz="0" w:space="0" w:color="3D3D3D"/>
            <w:left w:val="none" w:sz="0" w:space="0" w:color="3D3D3D"/>
            <w:bottom w:val="none" w:sz="0" w:space="0" w:color="3D3D3D"/>
            <w:right w:val="none" w:sz="0" w:space="0" w:color="3D3D3D"/>
          </w:divBdr>
        </w:div>
      </w:divsChild>
    </w:div>
    <w:div w:id="1843080519">
      <w:bodyDiv w:val="1"/>
      <w:marLeft w:val="0"/>
      <w:marRight w:val="0"/>
      <w:marTop w:val="0"/>
      <w:marBottom w:val="0"/>
      <w:divBdr>
        <w:top w:val="none" w:sz="0" w:space="0" w:color="auto"/>
        <w:left w:val="none" w:sz="0" w:space="0" w:color="auto"/>
        <w:bottom w:val="none" w:sz="0" w:space="0" w:color="auto"/>
        <w:right w:val="none" w:sz="0" w:space="0" w:color="auto"/>
      </w:divBdr>
      <w:divsChild>
        <w:div w:id="778373317">
          <w:marLeft w:val="0"/>
          <w:marRight w:val="0"/>
          <w:marTop w:val="0"/>
          <w:marBottom w:val="0"/>
          <w:divBdr>
            <w:top w:val="none" w:sz="0" w:space="0" w:color="3D3D3D"/>
            <w:left w:val="none" w:sz="0" w:space="0" w:color="3D3D3D"/>
            <w:bottom w:val="none" w:sz="0" w:space="0" w:color="3D3D3D"/>
            <w:right w:val="none" w:sz="0" w:space="0" w:color="3D3D3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4</Pages>
  <Words>1799</Words>
  <Characters>10258</Characters>
  <Application>Microsoft Office Word</Application>
  <DocSecurity>0</DocSecurity>
  <Lines>85</Lines>
  <Paragraphs>24</Paragraphs>
  <ScaleCrop>false</ScaleCrop>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 Circo</dc:creator>
  <cp:keywords/>
  <dc:description/>
  <cp:lastModifiedBy>Bailey Lovett</cp:lastModifiedBy>
  <cp:revision>9</cp:revision>
  <dcterms:created xsi:type="dcterms:W3CDTF">2024-09-10T23:07:00Z</dcterms:created>
  <dcterms:modified xsi:type="dcterms:W3CDTF">2024-09-20T14:54:00Z</dcterms:modified>
</cp:coreProperties>
</file>