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3EAF7" w14:textId="77777777" w:rsidR="00073F02" w:rsidRDefault="00073F02" w:rsidP="00073F02">
      <w:pPr>
        <w:rPr>
          <w:b/>
          <w:bCs/>
        </w:rPr>
      </w:pPr>
      <w:r w:rsidRPr="438B8011">
        <w:rPr>
          <w:b/>
          <w:bCs/>
        </w:rPr>
        <w:t>Construction and Design Law: Managing the Network of Interdependent Relationships</w:t>
      </w:r>
    </w:p>
    <w:p w14:paraId="610CDB00" w14:textId="217914AA" w:rsidR="00073F02" w:rsidRDefault="00073F02" w:rsidP="438B8011">
      <w:pPr>
        <w:jc w:val="center"/>
      </w:pPr>
    </w:p>
    <w:p w14:paraId="49CCF29A" w14:textId="5E1C9B8C" w:rsidR="00073F02" w:rsidRDefault="1C704410" w:rsidP="438B8011">
      <w:pPr>
        <w:jc w:val="center"/>
      </w:pPr>
      <w:r>
        <w:t>Carl J. Circo</w:t>
      </w:r>
    </w:p>
    <w:p w14:paraId="1EAF00FB" w14:textId="69F3534F" w:rsidR="00FB31AF" w:rsidRDefault="00FB31AF">
      <w:r w:rsidRPr="438B8011">
        <w:rPr>
          <w:b/>
          <w:bCs/>
        </w:rPr>
        <w:t>Lesson 3: Pricing Alternatives</w:t>
      </w:r>
    </w:p>
    <w:p w14:paraId="31A616CB" w14:textId="412171DD" w:rsidR="00534169" w:rsidRDefault="00534169" w:rsidP="00FB31AF">
      <w:r>
        <w:tab/>
      </w:r>
      <w:r w:rsidR="003312D8">
        <w:t xml:space="preserve">Pricing arrangements for construction and design </w:t>
      </w:r>
      <w:r w:rsidR="0059712C">
        <w:t xml:space="preserve">work and services operate to allocate </w:t>
      </w:r>
      <w:r w:rsidR="00173EEB">
        <w:t>some</w:t>
      </w:r>
      <w:r w:rsidR="0059712C">
        <w:t xml:space="preserve"> of the most significant financial risks</w:t>
      </w:r>
      <w:r w:rsidR="00173EEB">
        <w:t xml:space="preserve"> that industry participants face. </w:t>
      </w:r>
      <w:r w:rsidR="005D37D9">
        <w:t xml:space="preserve">While most pricing alternatives are straightforward, as the reading assignments for this lesson show, </w:t>
      </w:r>
      <w:r w:rsidR="00BD3960">
        <w:t xml:space="preserve">complications and disputes </w:t>
      </w:r>
      <w:r w:rsidR="0062436E">
        <w:t xml:space="preserve">sometimes arise </w:t>
      </w:r>
      <w:r w:rsidR="00BD3960">
        <w:t>over pricing terms</w:t>
      </w:r>
      <w:r w:rsidR="0062436E">
        <w:t xml:space="preserve">. Moreover, </w:t>
      </w:r>
      <w:r w:rsidR="00B150AC">
        <w:t xml:space="preserve">even a </w:t>
      </w:r>
      <w:r w:rsidR="00C44C01">
        <w:t>fixed-price</w:t>
      </w:r>
      <w:r w:rsidR="00B150AC">
        <w:t xml:space="preserve"> </w:t>
      </w:r>
      <w:r w:rsidR="00690737">
        <w:t xml:space="preserve">(or stipulated-sum) </w:t>
      </w:r>
      <w:r w:rsidR="00B150AC">
        <w:t xml:space="preserve">contract requires </w:t>
      </w:r>
      <w:r w:rsidR="00D81B4A">
        <w:t xml:space="preserve">the parties to </w:t>
      </w:r>
      <w:r w:rsidR="0039245A">
        <w:t>anticipate</w:t>
      </w:r>
      <w:r w:rsidR="00D81B4A">
        <w:t xml:space="preserve"> changes in the plans and specifications, delaying events, </w:t>
      </w:r>
      <w:r w:rsidR="003F1D05">
        <w:t>unforeseen</w:t>
      </w:r>
      <w:r w:rsidR="00987D19">
        <w:t xml:space="preserve"> developments, and other special circumstances.</w:t>
      </w:r>
    </w:p>
    <w:p w14:paraId="65B940B5" w14:textId="77777777" w:rsidR="00667EAC" w:rsidRDefault="00667EAC" w:rsidP="00FB31AF"/>
    <w:p w14:paraId="4F1DB6AB" w14:textId="656B1D83" w:rsidR="00667EAC" w:rsidRPr="002D011D" w:rsidRDefault="00667EAC" w:rsidP="438B8011">
      <w:pPr>
        <w:rPr>
          <w:u w:val="single"/>
        </w:rPr>
      </w:pPr>
      <w:r w:rsidRPr="002D011D">
        <w:rPr>
          <w:u w:val="single"/>
        </w:rPr>
        <w:t>Convention</w:t>
      </w:r>
      <w:r w:rsidR="004B04B2" w:rsidRPr="002D011D">
        <w:rPr>
          <w:u w:val="single"/>
        </w:rPr>
        <w:t>al</w:t>
      </w:r>
      <w:r w:rsidRPr="002D011D">
        <w:rPr>
          <w:u w:val="single"/>
        </w:rPr>
        <w:t xml:space="preserve"> pricing schemes</w:t>
      </w:r>
    </w:p>
    <w:p w14:paraId="75CD1640" w14:textId="6B0BF8A7" w:rsidR="00987D19" w:rsidRDefault="00987D19" w:rsidP="00FB31AF"/>
    <w:p w14:paraId="39A877A9" w14:textId="5CFB5C2E" w:rsidR="005D37D9" w:rsidRDefault="00987D19" w:rsidP="00FB31AF">
      <w:r>
        <w:tab/>
        <w:t>For a thorough</w:t>
      </w:r>
      <w:r w:rsidR="00263300">
        <w:t>, an</w:t>
      </w:r>
      <w:r w:rsidR="001339B1">
        <w:t>d</w:t>
      </w:r>
      <w:r w:rsidR="005E7960">
        <w:t xml:space="preserve"> an</w:t>
      </w:r>
      <w:r w:rsidR="00263300">
        <w:t xml:space="preserve"> admirably concise,</w:t>
      </w:r>
      <w:r>
        <w:t xml:space="preserve"> introduction to pricing alternatives, </w:t>
      </w:r>
      <w:r w:rsidR="005E3528">
        <w:t xml:space="preserve">read Sections 6:96-6:117 </w:t>
      </w:r>
      <w:r w:rsidR="008337DA">
        <w:t xml:space="preserve">in volume 2A of </w:t>
      </w:r>
      <w:r w:rsidR="008337DA" w:rsidRPr="001511CC">
        <w:rPr>
          <w:i/>
          <w:iCs/>
        </w:rPr>
        <w:t>Bruner &amp; O’Connor on Construction Law</w:t>
      </w:r>
      <w:r w:rsidR="008337DA">
        <w:t xml:space="preserve"> (Westlaw Aug. 2023), by Phillip L. Bruner &amp; Patrick J. O’Connor, Jr.</w:t>
      </w:r>
      <w:r w:rsidR="005E7960">
        <w:t xml:space="preserve"> These sections cover each </w:t>
      </w:r>
      <w:r w:rsidR="00082F0C">
        <w:t xml:space="preserve">compensation method conventionally used in the industry </w:t>
      </w:r>
      <w:r w:rsidR="009F1DF6">
        <w:t>for work and services.</w:t>
      </w:r>
      <w:r w:rsidR="00EF2EDD">
        <w:t xml:space="preserve"> Note that the main distinction </w:t>
      </w:r>
      <w:r w:rsidR="00EC2691">
        <w:t>is between</w:t>
      </w:r>
      <w:r w:rsidR="004E3A53">
        <w:t xml:space="preserve"> systems that compensate based on a stated</w:t>
      </w:r>
      <w:r w:rsidR="00EC2691">
        <w:t xml:space="preserve"> </w:t>
      </w:r>
      <w:r w:rsidR="002C454A">
        <w:t>fixed amount</w:t>
      </w:r>
      <w:r w:rsidR="00EC2691">
        <w:t xml:space="preserve"> and</w:t>
      </w:r>
      <w:r w:rsidR="00063FEC">
        <w:t xml:space="preserve"> those that </w:t>
      </w:r>
      <w:r w:rsidR="00B63660">
        <w:t xml:space="preserve">directly or indirectly </w:t>
      </w:r>
      <w:r w:rsidR="0042537B">
        <w:t xml:space="preserve">use </w:t>
      </w:r>
      <w:r w:rsidR="00B63660">
        <w:t xml:space="preserve">a cost </w:t>
      </w:r>
      <w:r w:rsidR="004A326E">
        <w:t>basis</w:t>
      </w:r>
      <w:r w:rsidR="00EC2691">
        <w:t xml:space="preserve">. </w:t>
      </w:r>
      <w:r w:rsidR="00ED43DD">
        <w:t>C</w:t>
      </w:r>
      <w:r w:rsidR="006014A8">
        <w:t>ontract</w:t>
      </w:r>
      <w:r w:rsidR="00ED43DD">
        <w:t>s</w:t>
      </w:r>
      <w:r w:rsidR="006014A8">
        <w:t xml:space="preserve"> specifying </w:t>
      </w:r>
      <w:r w:rsidR="00ED43DD">
        <w:t>f</w:t>
      </w:r>
      <w:r w:rsidR="00744FC2">
        <w:t>ixed</w:t>
      </w:r>
      <w:r w:rsidR="006014A8">
        <w:t xml:space="preserve"> </w:t>
      </w:r>
      <w:r w:rsidR="00C11536">
        <w:t>sum</w:t>
      </w:r>
      <w:r w:rsidR="00ED43DD">
        <w:t>s</w:t>
      </w:r>
      <w:r w:rsidR="00C11536">
        <w:t xml:space="preserve"> </w:t>
      </w:r>
      <w:r w:rsidR="00E12AFA">
        <w:t xml:space="preserve">allocate </w:t>
      </w:r>
      <w:r w:rsidR="00A65054">
        <w:t xml:space="preserve">substantial </w:t>
      </w:r>
      <w:r w:rsidR="00E12AFA">
        <w:t xml:space="preserve">financial </w:t>
      </w:r>
      <w:r w:rsidR="002C7F7A">
        <w:t xml:space="preserve">risk </w:t>
      </w:r>
      <w:r w:rsidR="0035230E">
        <w:t>to those providing work and services, while cost-based arrangements allocate</w:t>
      </w:r>
      <w:r w:rsidR="00D6562B">
        <w:t xml:space="preserve"> </w:t>
      </w:r>
      <w:r w:rsidR="00EA1256">
        <w:t>financial risks</w:t>
      </w:r>
      <w:r w:rsidR="00D659CF">
        <w:t>, at least in the first instance, to the</w:t>
      </w:r>
      <w:r w:rsidR="00BB588A">
        <w:t xml:space="preserve"> other contracting party, most often the</w:t>
      </w:r>
      <w:r w:rsidR="00D659CF">
        <w:t xml:space="preserve"> project owner</w:t>
      </w:r>
      <w:r w:rsidR="00BB588A">
        <w:t>.</w:t>
      </w:r>
    </w:p>
    <w:p w14:paraId="3A575457" w14:textId="77777777" w:rsidR="00D866C7" w:rsidRDefault="00D866C7" w:rsidP="00FB31AF"/>
    <w:p w14:paraId="3CA74ACA" w14:textId="45235468" w:rsidR="00D866C7" w:rsidRDefault="00D866C7" w:rsidP="00FB31AF">
      <w:r>
        <w:tab/>
        <w:t>Note also that</w:t>
      </w:r>
      <w:r w:rsidR="00AE007F">
        <w:t>, except in the simplest</w:t>
      </w:r>
      <w:r w:rsidR="005A70D7">
        <w:t xml:space="preserve"> situations, </w:t>
      </w:r>
      <w:r w:rsidR="00DD644C">
        <w:t xml:space="preserve">pricing terms in </w:t>
      </w:r>
      <w:r w:rsidR="00CF4B73">
        <w:t xml:space="preserve">contracts for both design and construction </w:t>
      </w:r>
      <w:r w:rsidR="002C20F8">
        <w:t xml:space="preserve">must be flexible enough to </w:t>
      </w:r>
      <w:r w:rsidR="00FC6873">
        <w:t xml:space="preserve">anticipate </w:t>
      </w:r>
      <w:r w:rsidR="00C66BC5">
        <w:t xml:space="preserve">many </w:t>
      </w:r>
      <w:r w:rsidR="00BF49AC">
        <w:t>possible developments</w:t>
      </w:r>
      <w:r w:rsidR="00452040">
        <w:t xml:space="preserve"> </w:t>
      </w:r>
      <w:r w:rsidR="002571F2">
        <w:t>that logically</w:t>
      </w:r>
      <w:r w:rsidR="002C644E">
        <w:t xml:space="preserve"> support</w:t>
      </w:r>
      <w:r w:rsidR="007E758B">
        <w:t xml:space="preserve"> adjusting </w:t>
      </w:r>
      <w:r w:rsidR="00E86345">
        <w:t>compensation</w:t>
      </w:r>
      <w:r w:rsidR="00D76E70">
        <w:t>.</w:t>
      </w:r>
      <w:r w:rsidR="002C644E">
        <w:t xml:space="preserve"> This is especially true with </w:t>
      </w:r>
      <w:r w:rsidR="009B6F1A">
        <w:t>fixed-price</w:t>
      </w:r>
      <w:r w:rsidR="002C644E">
        <w:t xml:space="preserve"> contracts</w:t>
      </w:r>
      <w:r w:rsidR="00E54792">
        <w:t xml:space="preserve"> because an agreement </w:t>
      </w:r>
      <w:r w:rsidR="009C654C">
        <w:t xml:space="preserve">to provide work or services for a </w:t>
      </w:r>
      <w:r w:rsidR="006E1D41">
        <w:t>definitive</w:t>
      </w:r>
      <w:r w:rsidR="009C654C">
        <w:t xml:space="preserve"> price inevitably </w:t>
      </w:r>
      <w:r w:rsidR="004D1C2B">
        <w:t xml:space="preserve">results from </w:t>
      </w:r>
      <w:r w:rsidR="00E3560C">
        <w:t xml:space="preserve">assumptions and projections about many relevant </w:t>
      </w:r>
      <w:r w:rsidR="00557549">
        <w:t>considerations</w:t>
      </w:r>
      <w:r w:rsidR="00781AD7">
        <w:t xml:space="preserve"> that are difficult to predict and control</w:t>
      </w:r>
      <w:r w:rsidR="00E3560C">
        <w:t xml:space="preserve">, such as </w:t>
      </w:r>
      <w:r w:rsidR="00076E3A">
        <w:t>future</w:t>
      </w:r>
      <w:r w:rsidR="001420CE">
        <w:t xml:space="preserve"> costs of </w:t>
      </w:r>
      <w:r w:rsidR="002C036E">
        <w:t xml:space="preserve">labor and materials, </w:t>
      </w:r>
      <w:r w:rsidR="00511FB9">
        <w:t>the amount of time activities will require</w:t>
      </w:r>
      <w:r w:rsidR="00245F92">
        <w:t xml:space="preserve">, </w:t>
      </w:r>
      <w:r w:rsidR="009429FB">
        <w:t>costs of</w:t>
      </w:r>
      <w:r w:rsidR="00241ABA">
        <w:t xml:space="preserve"> </w:t>
      </w:r>
      <w:r w:rsidR="00FA1B93">
        <w:t>complying with governmental requirements</w:t>
      </w:r>
      <w:r w:rsidR="009025AA">
        <w:t xml:space="preserve">, and the impact of </w:t>
      </w:r>
      <w:r w:rsidR="00586C26">
        <w:t>contract breaches on the non-defaulting party</w:t>
      </w:r>
      <w:r w:rsidR="00DF107D">
        <w:t>.</w:t>
      </w:r>
      <w:r w:rsidR="00CC0C31">
        <w:t xml:space="preserve"> Of course, freedom of contract principles </w:t>
      </w:r>
      <w:r w:rsidR="0028262B">
        <w:t>dictate</w:t>
      </w:r>
      <w:r w:rsidR="00CC0C31">
        <w:t xml:space="preserve"> that a builder or design professional should expect to be held to an unambiguous agreement to accept a fixed price for defined work and services. </w:t>
      </w:r>
      <w:r w:rsidR="00454288">
        <w:t xml:space="preserve">See </w:t>
      </w:r>
      <w:r w:rsidR="001443D4">
        <w:t>1A</w:t>
      </w:r>
      <w:r w:rsidR="002F14E6">
        <w:t xml:space="preserve"> Phillip L. Bruner &amp; Patrick J. O’Connor, Jr., 1 </w:t>
      </w:r>
      <w:r w:rsidR="002F14E6" w:rsidRPr="001511CC">
        <w:rPr>
          <w:i/>
          <w:iCs/>
        </w:rPr>
        <w:t>Bruner &amp; O’Connor on Construction Law</w:t>
      </w:r>
      <w:r w:rsidR="002F14E6">
        <w:t xml:space="preserve">, § </w:t>
      </w:r>
      <w:r w:rsidR="00C7371A">
        <w:t>3</w:t>
      </w:r>
      <w:r w:rsidR="002F14E6">
        <w:t>:</w:t>
      </w:r>
      <w:r w:rsidR="00C7371A">
        <w:t>1</w:t>
      </w:r>
      <w:r w:rsidR="002F14E6">
        <w:t xml:space="preserve"> (Westlaw Aug. 2023).</w:t>
      </w:r>
      <w:r w:rsidR="00CC0C31">
        <w:t xml:space="preserve"> Even limited experience with </w:t>
      </w:r>
      <w:r w:rsidR="0028262B">
        <w:t xml:space="preserve">the </w:t>
      </w:r>
      <w:r w:rsidR="00CC0C31">
        <w:t>design and construction process</w:t>
      </w:r>
      <w:r w:rsidR="00521B31">
        <w:t>es</w:t>
      </w:r>
      <w:r w:rsidR="00CC0C31">
        <w:t xml:space="preserve">, however, assures that parties to industry contracts will </w:t>
      </w:r>
      <w:r w:rsidR="001D2268">
        <w:t xml:space="preserve">commonly </w:t>
      </w:r>
      <w:r w:rsidR="007E5D45">
        <w:t>negotiate</w:t>
      </w:r>
      <w:r w:rsidR="00CC0C31">
        <w:t xml:space="preserve"> </w:t>
      </w:r>
      <w:r w:rsidR="00335E5D">
        <w:t xml:space="preserve">standards and procedures </w:t>
      </w:r>
      <w:r w:rsidR="00797508">
        <w:t>allowing for economically rational</w:t>
      </w:r>
      <w:r w:rsidR="00335E5D">
        <w:t xml:space="preserve"> adjust</w:t>
      </w:r>
      <w:r w:rsidR="00797508">
        <w:t>ments to</w:t>
      </w:r>
      <w:r w:rsidR="00335E5D">
        <w:t xml:space="preserve"> fixed</w:t>
      </w:r>
      <w:r w:rsidR="00A51301">
        <w:t>-</w:t>
      </w:r>
      <w:r w:rsidR="00335E5D">
        <w:t>price commitments</w:t>
      </w:r>
      <w:r w:rsidR="001D2268">
        <w:t xml:space="preserve">. </w:t>
      </w:r>
      <w:r w:rsidR="00DD3C29">
        <w:t>Theoretically, cost-based pricing</w:t>
      </w:r>
      <w:r w:rsidR="00827FBA">
        <w:t xml:space="preserve"> </w:t>
      </w:r>
      <w:r w:rsidR="00406446">
        <w:t>can</w:t>
      </w:r>
      <w:r w:rsidR="001B6D9B">
        <w:t xml:space="preserve"> largely</w:t>
      </w:r>
      <w:r w:rsidR="00406446">
        <w:t xml:space="preserve"> avoid </w:t>
      </w:r>
      <w:r w:rsidR="007F06B2">
        <w:t>pricing adjustments because the cost approach itself</w:t>
      </w:r>
      <w:r w:rsidR="00DD3C29">
        <w:t xml:space="preserve"> </w:t>
      </w:r>
      <w:r w:rsidR="007F06B2">
        <w:t>should</w:t>
      </w:r>
      <w:r w:rsidR="001B6D9B">
        <w:t xml:space="preserve"> </w:t>
      </w:r>
      <w:r w:rsidR="008A5EFA">
        <w:t>accommodate</w:t>
      </w:r>
      <w:r w:rsidR="002B6FC0">
        <w:t xml:space="preserve"> </w:t>
      </w:r>
      <w:r w:rsidR="001B6D9B">
        <w:t>most</w:t>
      </w:r>
      <w:r w:rsidR="002B6FC0">
        <w:t xml:space="preserve"> circumstances</w:t>
      </w:r>
      <w:r w:rsidR="001B6D9B">
        <w:t xml:space="preserve"> that might</w:t>
      </w:r>
      <w:r w:rsidR="002B6FC0">
        <w:t xml:space="preserve"> arise over </w:t>
      </w:r>
      <w:r w:rsidR="00703154">
        <w:t>a contract’s duration</w:t>
      </w:r>
      <w:r w:rsidR="00FD1EE4">
        <w:t>. In practice, however,</w:t>
      </w:r>
      <w:r w:rsidR="00703154">
        <w:t xml:space="preserve"> the parties</w:t>
      </w:r>
      <w:r w:rsidR="00364C64">
        <w:t xml:space="preserve"> negotiating cost-based compensation</w:t>
      </w:r>
      <w:r w:rsidR="00703154">
        <w:t xml:space="preserve"> may sometimes </w:t>
      </w:r>
      <w:r w:rsidR="00A57D21">
        <w:t xml:space="preserve">decide to allow for fixed pricing for some of those circumstances, such as </w:t>
      </w:r>
      <w:r w:rsidR="00B46A60">
        <w:t>proposals for changes to plans and specifications.</w:t>
      </w:r>
      <w:r w:rsidR="005E7A2E">
        <w:t xml:space="preserve"> </w:t>
      </w:r>
      <w:r w:rsidR="00014ADA">
        <w:t>Moreover,</w:t>
      </w:r>
      <w:r w:rsidR="001D3EF4">
        <w:t xml:space="preserve"> cost-based pricing often includes</w:t>
      </w:r>
      <w:r w:rsidR="00014ADA">
        <w:t xml:space="preserve"> </w:t>
      </w:r>
      <w:r w:rsidR="0015581B">
        <w:t xml:space="preserve">guaranteed maximum price </w:t>
      </w:r>
      <w:r w:rsidR="001D3EF4">
        <w:t>terms</w:t>
      </w:r>
      <w:r w:rsidR="006C75F0">
        <w:t xml:space="preserve">, </w:t>
      </w:r>
      <w:r w:rsidR="001D3EF4">
        <w:t xml:space="preserve">thereby </w:t>
      </w:r>
      <w:r w:rsidR="006C75F0">
        <w:t>reintroduc</w:t>
      </w:r>
      <w:r w:rsidR="001D3EF4">
        <w:t>ing</w:t>
      </w:r>
      <w:r w:rsidR="00F24C25">
        <w:t xml:space="preserve"> the need for flexibility when </w:t>
      </w:r>
      <w:r w:rsidR="00816B2A">
        <w:t>circumstances change.</w:t>
      </w:r>
    </w:p>
    <w:p w14:paraId="56216183" w14:textId="77777777" w:rsidR="009D7447" w:rsidRDefault="009D7447" w:rsidP="00FB31AF"/>
    <w:p w14:paraId="0D2A278A" w14:textId="43A1B169" w:rsidR="00261C68" w:rsidRDefault="009D7447" w:rsidP="00FB31AF">
      <w:r>
        <w:tab/>
      </w:r>
      <w:r w:rsidR="00830ED2">
        <w:t>As reflected repeatedly in the excerpts from the Bruner and O’Connor treatise</w:t>
      </w:r>
      <w:r w:rsidR="006D5E28">
        <w:t>, n</w:t>
      </w:r>
      <w:r w:rsidR="006665EB">
        <w:t>o matter what pricing arrangement the contract employs,</w:t>
      </w:r>
      <w:r w:rsidR="00F1593A">
        <w:t xml:space="preserve"> the parties will sometimes have disputes </w:t>
      </w:r>
      <w:r w:rsidR="004809CF">
        <w:t xml:space="preserve">over contract interpretation or </w:t>
      </w:r>
      <w:r w:rsidR="003E24C3">
        <w:t>the correct method for applying</w:t>
      </w:r>
      <w:r w:rsidR="006D5E28">
        <w:t xml:space="preserve"> </w:t>
      </w:r>
      <w:r w:rsidR="002C35A4">
        <w:t>the contract’s</w:t>
      </w:r>
      <w:r w:rsidR="003E24C3">
        <w:t xml:space="preserve"> </w:t>
      </w:r>
      <w:r w:rsidR="00830ED2">
        <w:t>compensation formulas or standards</w:t>
      </w:r>
      <w:r w:rsidR="006D5E28">
        <w:t>.</w:t>
      </w:r>
      <w:r w:rsidR="00E66289">
        <w:t xml:space="preserve"> </w:t>
      </w:r>
      <w:r w:rsidR="000373E3">
        <w:t xml:space="preserve">As discussed in </w:t>
      </w:r>
      <w:r w:rsidR="004067A5">
        <w:t>S</w:t>
      </w:r>
      <w:r w:rsidR="000373E3">
        <w:t>ections</w:t>
      </w:r>
      <w:r w:rsidR="004067A5">
        <w:t xml:space="preserve"> 6:99-</w:t>
      </w:r>
      <w:r w:rsidR="00EE1B77">
        <w:t>106</w:t>
      </w:r>
      <w:r w:rsidR="000373E3">
        <w:t xml:space="preserve">, </w:t>
      </w:r>
      <w:r w:rsidR="00EE1B77">
        <w:t>u</w:t>
      </w:r>
      <w:r w:rsidR="00ED1C08">
        <w:t>nit pricing</w:t>
      </w:r>
      <w:r w:rsidR="002A6DDA">
        <w:t xml:space="preserve"> presents special challenges</w:t>
      </w:r>
      <w:r w:rsidR="000373E3">
        <w:t xml:space="preserve"> due to </w:t>
      </w:r>
      <w:r w:rsidR="000373E3">
        <w:lastRenderedPageBreak/>
        <w:t>the risks of unbalanced bidding</w:t>
      </w:r>
      <w:r w:rsidR="00CD4B0A">
        <w:t xml:space="preserve"> techniques,</w:t>
      </w:r>
      <w:r w:rsidR="00282760">
        <w:t xml:space="preserve"> potential</w:t>
      </w:r>
      <w:r w:rsidR="00CD4B0A">
        <w:t xml:space="preserve"> inaccur</w:t>
      </w:r>
      <w:r w:rsidR="00B16EE4">
        <w:t xml:space="preserve">acies in estimated </w:t>
      </w:r>
      <w:r w:rsidR="00234F4B">
        <w:t>quantities</w:t>
      </w:r>
      <w:r w:rsidR="00AD009D">
        <w:t>,</w:t>
      </w:r>
      <w:r w:rsidR="008D5ED6">
        <w:t xml:space="preserve"> measurement problems,</w:t>
      </w:r>
      <w:r w:rsidR="00AD009D">
        <w:t xml:space="preserve"> </w:t>
      </w:r>
      <w:r w:rsidR="0000113B">
        <w:t xml:space="preserve">and </w:t>
      </w:r>
      <w:r w:rsidR="00D722CA">
        <w:t>the use of special provisions applicable to unit pricing, such as a variation in estimated quantity clause</w:t>
      </w:r>
      <w:r w:rsidR="001114BB">
        <w:t>.</w:t>
      </w:r>
    </w:p>
    <w:p w14:paraId="78463193" w14:textId="77777777" w:rsidR="00261C68" w:rsidRDefault="00261C68" w:rsidP="00FB31AF"/>
    <w:p w14:paraId="079587CC" w14:textId="773D9434" w:rsidR="006E396F" w:rsidRDefault="001114BB" w:rsidP="00261C68">
      <w:pPr>
        <w:ind w:firstLine="720"/>
      </w:pPr>
      <w:r>
        <w:t xml:space="preserve">As </w:t>
      </w:r>
      <w:r w:rsidR="00C51673">
        <w:t>Section</w:t>
      </w:r>
      <w:r w:rsidR="004E079A">
        <w:t>s</w:t>
      </w:r>
      <w:r w:rsidR="00C51673">
        <w:t xml:space="preserve"> 6:108</w:t>
      </w:r>
      <w:r w:rsidR="004E079A">
        <w:t>-109</w:t>
      </w:r>
      <w:r w:rsidR="00C51673">
        <w:t xml:space="preserve"> explain, basing</w:t>
      </w:r>
      <w:r>
        <w:t xml:space="preserve"> compensation on the costs of the work to be performed require</w:t>
      </w:r>
      <w:r w:rsidR="00AB12B0">
        <w:t>s</w:t>
      </w:r>
      <w:r w:rsidR="006C6CD1">
        <w:t xml:space="preserve"> the parties to include in the contract</w:t>
      </w:r>
      <w:r>
        <w:t xml:space="preserve"> detailed definitions of the components of reimbursable costs</w:t>
      </w:r>
      <w:r w:rsidR="00AB12B0">
        <w:t xml:space="preserve">. This may </w:t>
      </w:r>
      <w:r w:rsidR="00895BFF">
        <w:t>lead to tedious negotiations and</w:t>
      </w:r>
      <w:r w:rsidR="009D0F7F">
        <w:t xml:space="preserve"> to</w:t>
      </w:r>
      <w:r w:rsidR="00895BFF">
        <w:t xml:space="preserve"> provisions for auditing cost records.</w:t>
      </w:r>
      <w:r w:rsidR="00885755">
        <w:t xml:space="preserve"> In most situations, a cost reimbursable </w:t>
      </w:r>
      <w:r w:rsidR="00ED5749">
        <w:t xml:space="preserve">provision will also </w:t>
      </w:r>
      <w:r w:rsidR="009D0F7F">
        <w:t>provide for</w:t>
      </w:r>
      <w:r w:rsidR="00ED5749">
        <w:t xml:space="preserve"> a</w:t>
      </w:r>
      <w:r w:rsidR="00B9384F">
        <w:t xml:space="preserve">dditional compensation </w:t>
      </w:r>
      <w:r w:rsidR="002037B8">
        <w:t>as a profit</w:t>
      </w:r>
      <w:r w:rsidR="00804245">
        <w:t xml:space="preserve"> and overhead</w:t>
      </w:r>
      <w:r w:rsidR="002037B8">
        <w:t xml:space="preserve"> allowance, thus giving rise to the “cost-plus” label.</w:t>
      </w:r>
      <w:r w:rsidR="00F34F88">
        <w:t xml:space="preserve"> Finally, cost-based contracts frequently </w:t>
      </w:r>
      <w:r w:rsidR="0096501A">
        <w:t>include</w:t>
      </w:r>
      <w:r w:rsidR="00D62464">
        <w:t xml:space="preserve"> a guaranteed maximum price provision</w:t>
      </w:r>
      <w:r w:rsidR="005A40A2">
        <w:t xml:space="preserve"> that caps compensation, thereby reallocat</w:t>
      </w:r>
      <w:r w:rsidR="00DA2DF8">
        <w:t>ing</w:t>
      </w:r>
      <w:r w:rsidR="005A40A2">
        <w:t xml:space="preserve"> some pricing risk to the party</w:t>
      </w:r>
      <w:r w:rsidR="00E60BB2">
        <w:t xml:space="preserve"> performing the work</w:t>
      </w:r>
      <w:r w:rsidR="00D62464">
        <w:t>.</w:t>
      </w:r>
    </w:p>
    <w:p w14:paraId="77176894" w14:textId="77777777" w:rsidR="006E396F" w:rsidRDefault="006E396F" w:rsidP="00FB31AF"/>
    <w:p w14:paraId="48F98B10" w14:textId="631FE861" w:rsidR="00AD52BD" w:rsidRPr="00BE57F6" w:rsidRDefault="00380F0D" w:rsidP="438B8011">
      <w:pPr>
        <w:rPr>
          <w:u w:val="single"/>
        </w:rPr>
      </w:pPr>
      <w:r w:rsidRPr="00BE57F6">
        <w:rPr>
          <w:u w:val="single"/>
        </w:rPr>
        <w:t>Stipulated-sum</w:t>
      </w:r>
      <w:r w:rsidR="006E396F" w:rsidRPr="00BE57F6">
        <w:rPr>
          <w:u w:val="single"/>
        </w:rPr>
        <w:t xml:space="preserve"> and cost-based pricing examples</w:t>
      </w:r>
    </w:p>
    <w:p w14:paraId="6E6BEBCA" w14:textId="77777777" w:rsidR="00AD52BD" w:rsidRDefault="00AD52BD" w:rsidP="00FB31AF"/>
    <w:p w14:paraId="6919359A" w14:textId="7AC7BD92" w:rsidR="002F5BF7" w:rsidRDefault="00AD52BD" w:rsidP="00FB31AF">
      <w:r>
        <w:tab/>
        <w:t xml:space="preserve">For a detailed </w:t>
      </w:r>
      <w:r w:rsidR="00361FD6">
        <w:t>example</w:t>
      </w:r>
      <w:r>
        <w:t xml:space="preserve"> of </w:t>
      </w:r>
      <w:r w:rsidR="00071F36">
        <w:t>stipulated</w:t>
      </w:r>
      <w:r w:rsidR="00380F0D">
        <w:t>-</w:t>
      </w:r>
      <w:r w:rsidR="00071F36">
        <w:t>sum pricing</w:t>
      </w:r>
      <w:r>
        <w:t>, read</w:t>
      </w:r>
      <w:r w:rsidR="00361FD6">
        <w:t xml:space="preserve"> the selected portions of</w:t>
      </w:r>
      <w:r>
        <w:t xml:space="preserve"> </w:t>
      </w:r>
      <w:r w:rsidR="00DB3339">
        <w:t xml:space="preserve">the </w:t>
      </w:r>
      <w:r>
        <w:t>American Institute of Architects</w:t>
      </w:r>
      <w:r w:rsidR="00726987">
        <w:t xml:space="preserve"> (AIA)</w:t>
      </w:r>
      <w:r w:rsidR="00DB3339">
        <w:t xml:space="preserve"> contract forms </w:t>
      </w:r>
      <w:r w:rsidR="001346D4">
        <w:t>discussed</w:t>
      </w:r>
      <w:r w:rsidR="006140AE">
        <w:t xml:space="preserve"> here. First</w:t>
      </w:r>
      <w:r w:rsidR="00071F36">
        <w:t>,</w:t>
      </w:r>
      <w:r w:rsidR="006140AE">
        <w:t xml:space="preserve"> consider Article 4 of the AIA</w:t>
      </w:r>
      <w:r w:rsidR="00DF7EA1">
        <w:t>’s A101</w:t>
      </w:r>
      <w:r w:rsidR="00D1438A">
        <w:t xml:space="preserve"> (2017)</w:t>
      </w:r>
      <w:r w:rsidR="00DF7EA1">
        <w:t>,</w:t>
      </w:r>
      <w:r w:rsidR="00927E50">
        <w:t xml:space="preserve"> </w:t>
      </w:r>
      <w:r w:rsidR="006A37B1">
        <w:t>“</w:t>
      </w:r>
      <w:r w:rsidR="00927E50">
        <w:t>Standard Form of Agreement Between Owner and Contractor where the basis of payment is a Stipulated Sum.</w:t>
      </w:r>
      <w:r w:rsidR="006A37B1">
        <w:t xml:space="preserve">” </w:t>
      </w:r>
      <w:r w:rsidR="00071F36">
        <w:t xml:space="preserve"> </w:t>
      </w:r>
      <w:r w:rsidR="00456105">
        <w:t>Note that</w:t>
      </w:r>
      <w:r w:rsidR="00FA0062">
        <w:t xml:space="preserve"> </w:t>
      </w:r>
      <w:r w:rsidR="00DA2DF8">
        <w:t>S</w:t>
      </w:r>
      <w:r w:rsidR="00F771F1">
        <w:t xml:space="preserve">ection </w:t>
      </w:r>
      <w:r w:rsidR="00595EBA">
        <w:t>4.1 specifies</w:t>
      </w:r>
      <w:r w:rsidR="00113BCC">
        <w:t xml:space="preserve"> that</w:t>
      </w:r>
      <w:r w:rsidR="00595EBA">
        <w:t xml:space="preserve"> the fixed amount</w:t>
      </w:r>
      <w:r w:rsidR="00C617EE">
        <w:t xml:space="preserve"> </w:t>
      </w:r>
      <w:r w:rsidR="007E140E">
        <w:t>the Owner agrees to pay the Contractor for the work</w:t>
      </w:r>
      <w:r w:rsidR="00113BCC">
        <w:t xml:space="preserve"> is “subject to additions and deductions as provided in the Contract Documents</w:t>
      </w:r>
      <w:r w:rsidR="00B572FD">
        <w:t>.</w:t>
      </w:r>
      <w:r w:rsidR="004F5C59">
        <w:t>”</w:t>
      </w:r>
      <w:r w:rsidR="007E140E">
        <w:t xml:space="preserve"> </w:t>
      </w:r>
      <w:r w:rsidR="00B572FD">
        <w:t>Th</w:t>
      </w:r>
      <w:r w:rsidR="002A0464">
        <w:t>e</w:t>
      </w:r>
      <w:r w:rsidR="00B572FD">
        <w:t xml:space="preserve"> o</w:t>
      </w:r>
      <w:r w:rsidR="00FB4F48">
        <w:t xml:space="preserve">ther </w:t>
      </w:r>
      <w:r w:rsidR="00CE731D">
        <w:t>sections</w:t>
      </w:r>
      <w:r w:rsidR="00842692">
        <w:t xml:space="preserve"> and subsections</w:t>
      </w:r>
      <w:r w:rsidR="00CE731D">
        <w:t xml:space="preserve"> of Article 4 </w:t>
      </w:r>
      <w:r w:rsidR="00FA0062">
        <w:t xml:space="preserve">reflect some </w:t>
      </w:r>
      <w:r w:rsidR="00B572FD">
        <w:t xml:space="preserve">of the </w:t>
      </w:r>
      <w:r w:rsidR="00E87D41">
        <w:t xml:space="preserve">special </w:t>
      </w:r>
      <w:r w:rsidR="00AA6461">
        <w:t>considerations</w:t>
      </w:r>
      <w:r w:rsidR="00E919B7">
        <w:t xml:space="preserve"> </w:t>
      </w:r>
      <w:r w:rsidR="00B572FD">
        <w:t xml:space="preserve">that may </w:t>
      </w:r>
      <w:r w:rsidR="002A0464">
        <w:t>account for changes to that fixed amount</w:t>
      </w:r>
      <w:r w:rsidR="00E919B7">
        <w:t xml:space="preserve">. </w:t>
      </w:r>
      <w:r w:rsidR="002F6DBB">
        <w:t>In arriving at the stated contract sum, the</w:t>
      </w:r>
      <w:r w:rsidR="00E919B7">
        <w:t xml:space="preserve"> </w:t>
      </w:r>
      <w:r w:rsidR="007B311E">
        <w:t xml:space="preserve">owner and the contractor may have </w:t>
      </w:r>
      <w:r w:rsidR="00875867">
        <w:t>chosen</w:t>
      </w:r>
      <w:r w:rsidR="0011552B">
        <w:t xml:space="preserve"> certain</w:t>
      </w:r>
      <w:r w:rsidR="002E71EF">
        <w:t xml:space="preserve"> </w:t>
      </w:r>
      <w:r w:rsidR="00875867">
        <w:t xml:space="preserve">alternative </w:t>
      </w:r>
      <w:r w:rsidR="002E71EF">
        <w:t xml:space="preserve">details </w:t>
      </w:r>
      <w:r w:rsidR="00875867">
        <w:t>over others</w:t>
      </w:r>
      <w:r w:rsidR="00901E84">
        <w:t xml:space="preserve"> </w:t>
      </w:r>
      <w:r w:rsidR="00BE15AB">
        <w:t>that were under consideration</w:t>
      </w:r>
      <w:r w:rsidR="007369F5">
        <w:t xml:space="preserve"> as the fixed price was being </w:t>
      </w:r>
      <w:r w:rsidR="009A5FC1">
        <w:t>established</w:t>
      </w:r>
      <w:r w:rsidR="00BE15AB">
        <w:t xml:space="preserve"> </w:t>
      </w:r>
      <w:r w:rsidR="00901E84">
        <w:t>(</w:t>
      </w:r>
      <w:r w:rsidR="00E7620A">
        <w:t>S</w:t>
      </w:r>
      <w:r w:rsidR="00901E84">
        <w:t xml:space="preserve">ubsection 4.2.1), and they may have agreed to defer </w:t>
      </w:r>
      <w:r w:rsidR="00C25F9E">
        <w:t xml:space="preserve">decisions about other alternatives that </w:t>
      </w:r>
      <w:r w:rsidR="00BE15AB">
        <w:t>could</w:t>
      </w:r>
      <w:r w:rsidR="00CE4DBC">
        <w:t xml:space="preserve"> ultimately</w:t>
      </w:r>
      <w:r w:rsidR="004C2919">
        <w:t xml:space="preserve"> </w:t>
      </w:r>
      <w:r w:rsidR="00CE4DBC">
        <w:t>change</w:t>
      </w:r>
      <w:r w:rsidR="004C2919">
        <w:t xml:space="preserve"> the contract sum (</w:t>
      </w:r>
      <w:r w:rsidR="00D778B9">
        <w:t>S</w:t>
      </w:r>
      <w:r w:rsidR="004C2919">
        <w:t>ubsection 4.2.2)</w:t>
      </w:r>
      <w:r w:rsidR="001B23FE">
        <w:t xml:space="preserve">. The contract sum </w:t>
      </w:r>
      <w:r w:rsidR="00E97677">
        <w:t xml:space="preserve">might also </w:t>
      </w:r>
      <w:r w:rsidR="004E480F">
        <w:t>increase</w:t>
      </w:r>
      <w:r w:rsidR="00E97677">
        <w:t xml:space="preserve"> if</w:t>
      </w:r>
      <w:r w:rsidR="00CB57E4">
        <w:t xml:space="preserve"> </w:t>
      </w:r>
      <w:r w:rsidR="00E7620A">
        <w:t>decisions</w:t>
      </w:r>
      <w:r w:rsidR="00CB57E4">
        <w:t xml:space="preserve"> the owner ultimately makes concerning</w:t>
      </w:r>
      <w:r w:rsidR="00E97677">
        <w:t xml:space="preserve"> </w:t>
      </w:r>
      <w:r w:rsidR="00523BC7">
        <w:t>identified</w:t>
      </w:r>
      <w:r w:rsidR="00E97677">
        <w:t xml:space="preserve"> </w:t>
      </w:r>
      <w:r w:rsidR="004E480F">
        <w:t xml:space="preserve">details </w:t>
      </w:r>
      <w:r w:rsidR="00D876F0">
        <w:t>cost more than</w:t>
      </w:r>
      <w:r w:rsidR="00D022BA">
        <w:t xml:space="preserve"> the</w:t>
      </w:r>
      <w:r w:rsidR="00D876F0">
        <w:t xml:space="preserve"> </w:t>
      </w:r>
      <w:r w:rsidR="003B1CCD">
        <w:t>maximum</w:t>
      </w:r>
      <w:r w:rsidR="00E97677">
        <w:t xml:space="preserve"> </w:t>
      </w:r>
      <w:r w:rsidR="00341026">
        <w:t>amounts</w:t>
      </w:r>
      <w:r w:rsidR="00E74FE1">
        <w:t xml:space="preserve"> allotted</w:t>
      </w:r>
      <w:r w:rsidR="00D876F0">
        <w:t xml:space="preserve"> </w:t>
      </w:r>
      <w:r w:rsidR="00523BC7">
        <w:t xml:space="preserve">for </w:t>
      </w:r>
      <w:r w:rsidR="00D876F0">
        <w:t>those</w:t>
      </w:r>
      <w:r w:rsidR="00E337F3">
        <w:t xml:space="preserve"> </w:t>
      </w:r>
      <w:r w:rsidR="00341026">
        <w:t>details</w:t>
      </w:r>
      <w:r w:rsidR="00E74FE1">
        <w:t xml:space="preserve"> in the fixed sum</w:t>
      </w:r>
      <w:r w:rsidR="00E337F3">
        <w:t xml:space="preserve"> (</w:t>
      </w:r>
      <w:r w:rsidR="00D778B9">
        <w:t>S</w:t>
      </w:r>
      <w:r w:rsidR="00E337F3">
        <w:t>ection 4.3). Furthermore</w:t>
      </w:r>
      <w:r w:rsidR="004C12DD">
        <w:t>,</w:t>
      </w:r>
      <w:r w:rsidR="0010485C">
        <w:t xml:space="preserve"> the stated contract sum may also be subject to adjustment based on unit pricing of c</w:t>
      </w:r>
      <w:r w:rsidR="002F5BF7">
        <w:t>ertain items (</w:t>
      </w:r>
      <w:r w:rsidR="00D778B9">
        <w:t>S</w:t>
      </w:r>
      <w:r w:rsidR="002F5BF7">
        <w:t>ection 4.4)</w:t>
      </w:r>
      <w:r w:rsidR="00F0012A">
        <w:t>, due to the assessment of agreed liquidated damages (</w:t>
      </w:r>
      <w:r w:rsidR="00D778B9">
        <w:t>S</w:t>
      </w:r>
      <w:r w:rsidR="00F0012A">
        <w:t>ection 4.5), or</w:t>
      </w:r>
      <w:r w:rsidR="00252C1D">
        <w:t xml:space="preserve"> as the result of</w:t>
      </w:r>
      <w:r w:rsidR="00F0012A">
        <w:t xml:space="preserve"> other special agreements between the owner and the contractor (</w:t>
      </w:r>
      <w:r w:rsidR="00F31DAC">
        <w:t>Section 4.6). Thus, this AIA standard form for stipulated</w:t>
      </w:r>
      <w:r w:rsidR="00C80EA0">
        <w:t>-</w:t>
      </w:r>
      <w:r w:rsidR="00F31DAC">
        <w:t xml:space="preserve">sum pricing </w:t>
      </w:r>
      <w:r w:rsidR="004D357C">
        <w:t>highlights the potentially variable character of what initially</w:t>
      </w:r>
      <w:r w:rsidR="00FE4D78">
        <w:t xml:space="preserve"> appears as a </w:t>
      </w:r>
      <w:r w:rsidR="00C80EA0">
        <w:t>definitive</w:t>
      </w:r>
      <w:r w:rsidR="00FE4D78">
        <w:t xml:space="preserve"> amount.</w:t>
      </w:r>
    </w:p>
    <w:p w14:paraId="7CACFFF9" w14:textId="77777777" w:rsidR="002F5BF7" w:rsidRDefault="002F5BF7" w:rsidP="00FB31AF"/>
    <w:p w14:paraId="6D87F3EA" w14:textId="13D4AAAE" w:rsidR="009D7447" w:rsidRDefault="002F5BF7" w:rsidP="002F5BF7">
      <w:pPr>
        <w:ind w:firstLine="720"/>
      </w:pPr>
      <w:r>
        <w:t xml:space="preserve">Beyond the potential </w:t>
      </w:r>
      <w:r w:rsidR="00566B26">
        <w:t xml:space="preserve">that the stated contract sum might change due to the </w:t>
      </w:r>
      <w:r>
        <w:t xml:space="preserve">special </w:t>
      </w:r>
      <w:r w:rsidR="00074BC8">
        <w:t>circumstances recognized in Article 4 of A101</w:t>
      </w:r>
      <w:r w:rsidR="00566B26">
        <w:t xml:space="preserve">, </w:t>
      </w:r>
      <w:r w:rsidR="00E33A60">
        <w:t>significant</w:t>
      </w:r>
      <w:r w:rsidR="00CC3469">
        <w:t xml:space="preserve"> variations </w:t>
      </w:r>
      <w:r w:rsidR="00E33A60">
        <w:t>may</w:t>
      </w:r>
      <w:r w:rsidR="00CC3469">
        <w:t xml:space="preserve"> result from provisions of </w:t>
      </w:r>
      <w:r w:rsidR="009D78B6">
        <w:t xml:space="preserve">the </w:t>
      </w:r>
      <w:r w:rsidR="009545D9">
        <w:t>“general conditions</w:t>
      </w:r>
      <w:r w:rsidR="009321A7">
        <w:t>,</w:t>
      </w:r>
      <w:r w:rsidR="009545D9">
        <w:t xml:space="preserve">” </w:t>
      </w:r>
      <w:r w:rsidR="009321A7">
        <w:t xml:space="preserve">which </w:t>
      </w:r>
      <w:r w:rsidR="00AF74AE">
        <w:t>S</w:t>
      </w:r>
      <w:r w:rsidR="009321A7">
        <w:t>ubsection 9.1.</w:t>
      </w:r>
      <w:r w:rsidR="00A02773">
        <w:t>3</w:t>
      </w:r>
      <w:r w:rsidR="007A1A06">
        <w:t xml:space="preserve"> of A101</w:t>
      </w:r>
      <w:r w:rsidR="00A02773">
        <w:t xml:space="preserve"> </w:t>
      </w:r>
      <w:r w:rsidR="009545D9">
        <w:t>incorporate</w:t>
      </w:r>
      <w:r w:rsidR="00A02773">
        <w:t>s by reference into the parties’ agreement</w:t>
      </w:r>
      <w:r w:rsidR="009D78B6">
        <w:t>. Of special significance on this point are Articles 7 and 8</w:t>
      </w:r>
      <w:r w:rsidR="00726987">
        <w:t xml:space="preserve"> of the AIA’s A201</w:t>
      </w:r>
      <w:r w:rsidR="00510E91">
        <w:t xml:space="preserve"> (2017), </w:t>
      </w:r>
      <w:r w:rsidR="000A5A2B">
        <w:t>“</w:t>
      </w:r>
      <w:r w:rsidR="00510E91">
        <w:t>General Conditions of the Contract for Construction.</w:t>
      </w:r>
      <w:r w:rsidR="000A5A2B">
        <w:t>”</w:t>
      </w:r>
      <w:r w:rsidR="00510E91">
        <w:t xml:space="preserve"> </w:t>
      </w:r>
      <w:r w:rsidR="00A45EE5">
        <w:t>Article 7 governs how changes in the work may affect the stated contract sum, and Article 8</w:t>
      </w:r>
      <w:r w:rsidR="000D00E9">
        <w:t xml:space="preserve"> addresses </w:t>
      </w:r>
      <w:r w:rsidR="00D80576">
        <w:t>pricing impacts that may result from</w:t>
      </w:r>
      <w:r w:rsidR="000D00E9">
        <w:t xml:space="preserve"> </w:t>
      </w:r>
      <w:r w:rsidR="00CF5FB6">
        <w:t xml:space="preserve">certain </w:t>
      </w:r>
      <w:r w:rsidR="000D00E9">
        <w:t xml:space="preserve">time-related </w:t>
      </w:r>
      <w:r w:rsidR="00CF5FB6">
        <w:t>events resulting in delays.</w:t>
      </w:r>
      <w:r w:rsidR="000A5A2B">
        <w:t xml:space="preserve"> Later lessons </w:t>
      </w:r>
      <w:r w:rsidR="00BA44D7">
        <w:t>cover changes and delays in detail.</w:t>
      </w:r>
    </w:p>
    <w:p w14:paraId="7ABD38C9" w14:textId="48387D24" w:rsidR="00A02773" w:rsidRDefault="00A02773" w:rsidP="002F5BF7">
      <w:pPr>
        <w:ind w:firstLine="720"/>
      </w:pPr>
      <w:r>
        <w:t>.</w:t>
      </w:r>
    </w:p>
    <w:p w14:paraId="3802D8FF" w14:textId="65FC0139" w:rsidR="00071F36" w:rsidRDefault="00071F36" w:rsidP="00FB31AF">
      <w:r>
        <w:tab/>
        <w:t xml:space="preserve">Now, </w:t>
      </w:r>
      <w:r w:rsidR="004C264C">
        <w:t xml:space="preserve">to </w:t>
      </w:r>
      <w:r>
        <w:t>compare</w:t>
      </w:r>
      <w:r w:rsidR="007578B6">
        <w:t xml:space="preserve"> the far more complex terms of a cost-based contract</w:t>
      </w:r>
      <w:r w:rsidR="00C7371A">
        <w:t xml:space="preserve"> that establishes a guaranteed maximum price (GMP)</w:t>
      </w:r>
      <w:r w:rsidR="00184704">
        <w:t>, read the selected provisions discussed here from</w:t>
      </w:r>
      <w:r w:rsidR="00950D47">
        <w:t xml:space="preserve"> </w:t>
      </w:r>
      <w:proofErr w:type="spellStart"/>
      <w:r w:rsidR="00F63903">
        <w:t>ConsensusDOCs</w:t>
      </w:r>
      <w:proofErr w:type="spellEnd"/>
      <w:r w:rsidR="00F63903">
        <w:t xml:space="preserve"> 410 (201</w:t>
      </w:r>
      <w:r w:rsidR="003E2758">
        <w:t>7</w:t>
      </w:r>
      <w:r w:rsidR="00F63903">
        <w:t>)</w:t>
      </w:r>
      <w:r w:rsidR="006017C1">
        <w:t>.</w:t>
      </w:r>
      <w:r w:rsidR="00E92D27">
        <w:t xml:space="preserve"> Subsection 3.</w:t>
      </w:r>
      <w:r w:rsidR="00A57C47">
        <w:t>1.3 obligates the design-builder to prepare a preliminary estimate once “</w:t>
      </w:r>
      <w:r w:rsidR="00CD729A">
        <w:t>sufficient Project information has been identified</w:t>
      </w:r>
      <w:r w:rsidR="000A024F">
        <w:t>,</w:t>
      </w:r>
      <w:r w:rsidR="00CD729A">
        <w:t>”</w:t>
      </w:r>
      <w:r w:rsidR="000A024F">
        <w:t xml:space="preserve"> and it provides </w:t>
      </w:r>
      <w:r w:rsidR="000A024F">
        <w:lastRenderedPageBreak/>
        <w:t>for periodic updates to that estimate.</w:t>
      </w:r>
      <w:r w:rsidR="008D105C">
        <w:t xml:space="preserve"> Section 3.2 then sets out the process for establishing </w:t>
      </w:r>
      <w:r w:rsidR="00A12C9F">
        <w:t>the</w:t>
      </w:r>
      <w:r w:rsidR="008D105C">
        <w:t xml:space="preserve"> guaranteed maximum price</w:t>
      </w:r>
      <w:r w:rsidR="002C2FB8">
        <w:t xml:space="preserve"> (GMP), which </w:t>
      </w:r>
      <w:r w:rsidR="0081177D">
        <w:t>begins with</w:t>
      </w:r>
      <w:r w:rsidR="002C2FB8">
        <w:t xml:space="preserve"> the design-builder’s GMP Proposal (Subsection 3.2.1</w:t>
      </w:r>
      <w:r w:rsidR="00D71CB6">
        <w:t>)</w:t>
      </w:r>
      <w:r w:rsidR="00024C68">
        <w:t>.</w:t>
      </w:r>
      <w:r w:rsidR="00E22B62">
        <w:t xml:space="preserve"> and which calls for</w:t>
      </w:r>
      <w:r w:rsidR="00B920EC">
        <w:t xml:space="preserve"> a detailed statement of the basis for that proposal (Subsection 3.2.2)</w:t>
      </w:r>
      <w:r w:rsidR="00024C68">
        <w:t xml:space="preserve"> and</w:t>
      </w:r>
      <w:r w:rsidR="00A0751E">
        <w:t xml:space="preserve"> </w:t>
      </w:r>
      <w:r w:rsidR="00352FD4">
        <w:t>specifies</w:t>
      </w:r>
      <w:r w:rsidR="00024C68">
        <w:t xml:space="preserve"> the steps necessary to </w:t>
      </w:r>
      <w:r w:rsidR="00A705E2">
        <w:t>finalize the GMP (Subsections 3.2.4</w:t>
      </w:r>
      <w:r w:rsidR="00F42994">
        <w:t xml:space="preserve"> and 3.2.5). Note also that Article 3</w:t>
      </w:r>
      <w:r w:rsidR="00C015A0">
        <w:t xml:space="preserve"> </w:t>
      </w:r>
      <w:r w:rsidR="00535431">
        <w:t>provides</w:t>
      </w:r>
      <w:r w:rsidR="00C015A0">
        <w:t xml:space="preserve"> that the GMP proposal will include the design-builder’s contingency</w:t>
      </w:r>
      <w:r w:rsidR="00EF626A">
        <w:t xml:space="preserve"> (Subsection 3.2.7) and a requirement for the design-builder to maintain </w:t>
      </w:r>
      <w:r w:rsidR="00D03D5C">
        <w:t>cost accounting documentation (Subsection 3.2.8).</w:t>
      </w:r>
    </w:p>
    <w:p w14:paraId="60F40B06" w14:textId="77777777" w:rsidR="00C012B3" w:rsidRDefault="00C012B3" w:rsidP="00FB31AF"/>
    <w:p w14:paraId="45FA929B" w14:textId="00682D10" w:rsidR="00C012B3" w:rsidRDefault="00C012B3" w:rsidP="00FB31AF">
      <w:r>
        <w:tab/>
        <w:t xml:space="preserve">As one would expect, the GMP </w:t>
      </w:r>
      <w:r w:rsidR="00034023">
        <w:t>is subject to increase</w:t>
      </w:r>
      <w:r w:rsidR="003C0A69">
        <w:t>s</w:t>
      </w:r>
      <w:r w:rsidR="00034023">
        <w:t xml:space="preserve"> for such </w:t>
      </w:r>
      <w:r w:rsidR="004566C1">
        <w:t>matters as delays beyond the design-builder’s control</w:t>
      </w:r>
      <w:r w:rsidR="003C0A69">
        <w:t xml:space="preserve"> (Section 6.3)</w:t>
      </w:r>
      <w:r w:rsidR="00C74643">
        <w:t>.</w:t>
      </w:r>
      <w:r w:rsidR="00564657">
        <w:t xml:space="preserve"> </w:t>
      </w:r>
      <w:bookmarkStart w:id="0" w:name="_Int_ucejmOjU"/>
      <w:r w:rsidR="00564657">
        <w:t>Liquidated damages, however, may be assessed against the design-builder</w:t>
      </w:r>
      <w:r w:rsidR="0080297A">
        <w:t xml:space="preserve"> as the result of inexcusable delays (Section 6.4).</w:t>
      </w:r>
      <w:bookmarkEnd w:id="0"/>
    </w:p>
    <w:p w14:paraId="25DF019B" w14:textId="77777777" w:rsidR="002254B5" w:rsidRDefault="002254B5" w:rsidP="00FB31AF"/>
    <w:p w14:paraId="6EB02ADB" w14:textId="07B81BCE" w:rsidR="002254B5" w:rsidRDefault="002254B5" w:rsidP="00FB31AF">
      <w:r>
        <w:tab/>
        <w:t xml:space="preserve">Article 7 </w:t>
      </w:r>
      <w:r w:rsidR="007F43C0">
        <w:t>governs payments</w:t>
      </w:r>
      <w:r w:rsidR="008535E6">
        <w:t>, with</w:t>
      </w:r>
      <w:r w:rsidR="00027010">
        <w:t xml:space="preserve"> Section 7.1 provid</w:t>
      </w:r>
      <w:r w:rsidR="008535E6">
        <w:t>ing</w:t>
      </w:r>
      <w:r w:rsidR="00027010">
        <w:t xml:space="preserve"> for the design phase </w:t>
      </w:r>
      <w:r w:rsidR="00950D29">
        <w:t xml:space="preserve">payments and Section 7.2 </w:t>
      </w:r>
      <w:r w:rsidR="00DD79C9">
        <w:t>covering</w:t>
      </w:r>
      <w:r w:rsidR="00950D29">
        <w:t xml:space="preserve"> construction phase payments.</w:t>
      </w:r>
      <w:r w:rsidR="00146F68">
        <w:t xml:space="preserve"> Under Subsection 7.2, the design-builder’s compensation </w:t>
      </w:r>
      <w:r w:rsidR="004D39C9">
        <w:t xml:space="preserve">for </w:t>
      </w:r>
      <w:bookmarkStart w:id="1" w:name="_Int_bKK59o7E"/>
      <w:r w:rsidR="004D39C9">
        <w:t>construction</w:t>
      </w:r>
      <w:bookmarkEnd w:id="1"/>
      <w:r w:rsidR="004D39C9">
        <w:t xml:space="preserve"> work includes reimbursement </w:t>
      </w:r>
      <w:r w:rsidR="005E7243">
        <w:t>for</w:t>
      </w:r>
      <w:r w:rsidR="004D39C9">
        <w:t xml:space="preserve"> the costs of the work, plus the design-builder’s fee</w:t>
      </w:r>
      <w:r w:rsidR="00A7454C">
        <w:t xml:space="preserve"> as agreed by the parties,</w:t>
      </w:r>
      <w:r w:rsidR="002C4E05">
        <w:t xml:space="preserve"> </w:t>
      </w:r>
      <w:r w:rsidR="00A7454C">
        <w:t xml:space="preserve">but </w:t>
      </w:r>
      <w:r w:rsidR="003A43FB">
        <w:t xml:space="preserve">the total compensation </w:t>
      </w:r>
      <w:r w:rsidR="00A7454C">
        <w:t>is limited by the GMP.</w:t>
      </w:r>
      <w:r w:rsidR="00405DEA">
        <w:t xml:space="preserve"> </w:t>
      </w:r>
      <w:r w:rsidR="002C4E05">
        <w:t xml:space="preserve">Section 7.3 </w:t>
      </w:r>
      <w:r w:rsidR="00547943">
        <w:t>specifies the</w:t>
      </w:r>
      <w:r w:rsidR="0087479F">
        <w:t xml:space="preserve"> design-builder’s fee, Section 7.4 provides for adjustments in the fee for such matters as changes in the work</w:t>
      </w:r>
      <w:r w:rsidR="00F47E69">
        <w:t xml:space="preserve">, and Section 7.5 </w:t>
      </w:r>
      <w:r w:rsidR="007E05B6">
        <w:t xml:space="preserve">contemplates that the parties may agree that </w:t>
      </w:r>
      <w:r w:rsidR="00810674">
        <w:t xml:space="preserve">the design-builder </w:t>
      </w:r>
      <w:r w:rsidR="008D05CA">
        <w:t>will</w:t>
      </w:r>
      <w:r w:rsidR="00810674">
        <w:t xml:space="preserve"> receive a bonus payment </w:t>
      </w:r>
      <w:r w:rsidR="003E74B0">
        <w:t xml:space="preserve">if </w:t>
      </w:r>
      <w:r w:rsidR="00480F37">
        <w:t xml:space="preserve">the </w:t>
      </w:r>
      <w:r w:rsidR="003E74B0">
        <w:t>total of</w:t>
      </w:r>
      <w:r w:rsidR="00810674">
        <w:t xml:space="preserve"> the cost of the work and the design-builder’s</w:t>
      </w:r>
      <w:r w:rsidR="00480F37">
        <w:t xml:space="preserve"> fee</w:t>
      </w:r>
      <w:r w:rsidR="003E74B0">
        <w:t xml:space="preserve"> is ultimately less than the GMP.</w:t>
      </w:r>
    </w:p>
    <w:p w14:paraId="28CFCFDF" w14:textId="77777777" w:rsidR="00874932" w:rsidRDefault="00874932" w:rsidP="00FB31AF"/>
    <w:p w14:paraId="3F8CA954" w14:textId="29D9C7B5" w:rsidR="00874932" w:rsidRDefault="00874932" w:rsidP="00FB31AF">
      <w:r>
        <w:tab/>
      </w:r>
      <w:r w:rsidR="007E299C">
        <w:t>Article 8</w:t>
      </w:r>
      <w:r w:rsidR="00A67B0D">
        <w:t xml:space="preserve"> defines the phrase “Cost of the Work</w:t>
      </w:r>
      <w:r w:rsidR="009B4682">
        <w:t>.</w:t>
      </w:r>
      <w:r w:rsidR="00A67B0D">
        <w:t>”</w:t>
      </w:r>
      <w:r w:rsidR="007E299C">
        <w:t xml:space="preserve"> </w:t>
      </w:r>
      <w:r w:rsidR="009B4682">
        <w:t xml:space="preserve">This is </w:t>
      </w:r>
      <w:r w:rsidR="007E299C">
        <w:t>one of the most important topics in any cost-based compensation arrangement</w:t>
      </w:r>
      <w:r w:rsidR="00D05CD4">
        <w:t>, whether the agreement includes a GMP</w:t>
      </w:r>
      <w:r w:rsidR="00816BF9">
        <w:t xml:space="preserve"> or does not</w:t>
      </w:r>
      <w:r w:rsidR="00D05CD4">
        <w:t xml:space="preserve">. </w:t>
      </w:r>
      <w:r w:rsidR="00923310">
        <w:t>Seventeen separate subsections itemize the costs</w:t>
      </w:r>
      <w:r w:rsidR="00D44BFA">
        <w:t xml:space="preserve"> to be included in the calculation of reimbursable costs.</w:t>
      </w:r>
      <w:r w:rsidR="007B5564">
        <w:t xml:space="preserve"> Articles 9 and 10</w:t>
      </w:r>
      <w:r w:rsidR="000671EA">
        <w:t>, respectively,</w:t>
      </w:r>
      <w:r w:rsidR="007B5564">
        <w:t xml:space="preserve"> cover the important topics of </w:t>
      </w:r>
      <w:r w:rsidR="000671EA">
        <w:t>changes in the work and the payment process for construction phase services. These</w:t>
      </w:r>
      <w:r w:rsidR="00C22741">
        <w:t xml:space="preserve"> topics, however</w:t>
      </w:r>
      <w:r w:rsidR="000671EA">
        <w:t>,</w:t>
      </w:r>
      <w:r w:rsidR="00C22741">
        <w:t xml:space="preserve"> are beyond the scope of this lesson because </w:t>
      </w:r>
      <w:r w:rsidR="000671EA">
        <w:t xml:space="preserve">later lessons will </w:t>
      </w:r>
      <w:r w:rsidR="00C22741">
        <w:t>discuss them</w:t>
      </w:r>
      <w:r w:rsidR="000671EA">
        <w:t xml:space="preserve"> in detail</w:t>
      </w:r>
      <w:r w:rsidR="00C22741">
        <w:t>.</w:t>
      </w:r>
    </w:p>
    <w:p w14:paraId="29F8BB25" w14:textId="77777777" w:rsidR="00D03D5C" w:rsidRDefault="00D03D5C" w:rsidP="00FB31AF"/>
    <w:p w14:paraId="0C953859" w14:textId="77777777" w:rsidR="00977EDD" w:rsidRDefault="00D000F3" w:rsidP="00FB31AF">
      <w:r>
        <w:tab/>
        <w:t>Keep in mind that these two examples are just that</w:t>
      </w:r>
      <w:r w:rsidR="000450BD">
        <w:t xml:space="preserve">—examples. </w:t>
      </w:r>
      <w:r w:rsidR="006B61B7">
        <w:t>To be sure,</w:t>
      </w:r>
      <w:r w:rsidR="001B4A16">
        <w:t xml:space="preserve"> the provisions of these</w:t>
      </w:r>
      <w:r w:rsidR="00BE1B23">
        <w:t xml:space="preserve"> two industry form contracts</w:t>
      </w:r>
      <w:r w:rsidR="000450BD">
        <w:t xml:space="preserve"> </w:t>
      </w:r>
      <w:r w:rsidR="00CD233B">
        <w:t>derive from</w:t>
      </w:r>
      <w:r w:rsidR="000450BD">
        <w:t xml:space="preserve"> decades of experience in negotiating and administering </w:t>
      </w:r>
      <w:r w:rsidR="00CD233B">
        <w:t>stipulated</w:t>
      </w:r>
      <w:r w:rsidR="00E83CF5">
        <w:t>-</w:t>
      </w:r>
      <w:r w:rsidR="00CD233B">
        <w:t xml:space="preserve">sum and cost-based pricing arrangements, and they reflect </w:t>
      </w:r>
      <w:r w:rsidR="005F3DDF">
        <w:t>lessons from countless claims, disputes</w:t>
      </w:r>
      <w:r w:rsidR="00A2216F">
        <w:t xml:space="preserve">, settlements, </w:t>
      </w:r>
      <w:r w:rsidR="00304BD3">
        <w:t xml:space="preserve">judicial decisions, </w:t>
      </w:r>
      <w:r w:rsidR="00A2216F">
        <w:t xml:space="preserve">and </w:t>
      </w:r>
      <w:r w:rsidR="00304BD3">
        <w:t>other dispute resolution processes</w:t>
      </w:r>
      <w:r w:rsidR="00BE1B23">
        <w:t xml:space="preserve">. </w:t>
      </w:r>
      <w:r w:rsidR="00FD639A">
        <w:t xml:space="preserve">Accordingly, </w:t>
      </w:r>
      <w:r w:rsidR="00E22028">
        <w:t xml:space="preserve">the AIA and </w:t>
      </w:r>
      <w:proofErr w:type="spellStart"/>
      <w:r w:rsidR="00E22028">
        <w:t>ConsensDOCs</w:t>
      </w:r>
      <w:proofErr w:type="spellEnd"/>
      <w:r w:rsidR="00DF62AE">
        <w:t xml:space="preserve"> approach</w:t>
      </w:r>
      <w:r w:rsidR="00E22028">
        <w:t>es</w:t>
      </w:r>
      <w:r w:rsidR="00DF62AE">
        <w:t xml:space="preserve"> </w:t>
      </w:r>
      <w:r w:rsidR="00E22028">
        <w:t>merit considerable respect</w:t>
      </w:r>
      <w:r w:rsidR="00DF62AE">
        <w:t xml:space="preserve"> as standard</w:t>
      </w:r>
      <w:r w:rsidR="00E22028">
        <w:t>s</w:t>
      </w:r>
      <w:r w:rsidR="00DF62AE">
        <w:t xml:space="preserve"> or guide</w:t>
      </w:r>
      <w:r w:rsidR="000F6970">
        <w:t>line</w:t>
      </w:r>
      <w:r w:rsidR="00E22028">
        <w:t>s</w:t>
      </w:r>
      <w:r w:rsidR="00DF62AE">
        <w:t xml:space="preserve"> </w:t>
      </w:r>
      <w:r w:rsidR="000F6970">
        <w:t>for</w:t>
      </w:r>
      <w:r w:rsidR="00DF62AE">
        <w:t xml:space="preserve"> </w:t>
      </w:r>
      <w:r w:rsidR="00761A82">
        <w:t>effectively addressing compensation for fixed-price and cost-based pricing</w:t>
      </w:r>
      <w:r w:rsidR="00DF62AE">
        <w:t>.</w:t>
      </w:r>
      <w:r w:rsidR="00FE451A">
        <w:t xml:space="preserve"> </w:t>
      </w:r>
      <w:r w:rsidR="00A577E9">
        <w:t>C</w:t>
      </w:r>
      <w:r w:rsidR="00FE451A">
        <w:t>ontracting parties</w:t>
      </w:r>
      <w:r w:rsidR="00A577E9">
        <w:t>, however,</w:t>
      </w:r>
      <w:r w:rsidR="00FE451A">
        <w:t xml:space="preserve"> remain</w:t>
      </w:r>
      <w:r w:rsidR="00A577E9">
        <w:t xml:space="preserve"> largely</w:t>
      </w:r>
      <w:r w:rsidR="00FE451A">
        <w:t xml:space="preserve"> free to </w:t>
      </w:r>
      <w:r w:rsidR="006A5E80">
        <w:t xml:space="preserve">craft pricing arrangements in accordance with </w:t>
      </w:r>
      <w:r w:rsidR="00B47642">
        <w:t>their own objectives and bargaining positions</w:t>
      </w:r>
      <w:r w:rsidR="0095449C">
        <w:t xml:space="preserve">, subject to </w:t>
      </w:r>
      <w:r w:rsidR="00C77773">
        <w:t>limited exceptions based on legislative or judicial policy determinations</w:t>
      </w:r>
      <w:r w:rsidR="00B47642">
        <w:t>.</w:t>
      </w:r>
    </w:p>
    <w:p w14:paraId="247813E0" w14:textId="77777777" w:rsidR="00977EDD" w:rsidRDefault="00977EDD" w:rsidP="00FB31AF"/>
    <w:p w14:paraId="4B2CA88D" w14:textId="7336B89A" w:rsidR="006D6186" w:rsidRDefault="005E76B0" w:rsidP="00977EDD">
      <w:pPr>
        <w:ind w:firstLine="720"/>
      </w:pPr>
      <w:r>
        <w:t>L</w:t>
      </w:r>
      <w:r w:rsidR="00FD4BD1">
        <w:t>ater lessons</w:t>
      </w:r>
      <w:r w:rsidR="00AA6450">
        <w:t>, in addition to delving into contractual provisions concerning changes in the work</w:t>
      </w:r>
      <w:r w:rsidR="009E1145">
        <w:t xml:space="preserve"> and payment processes only briefly mentioned in this lesson,</w:t>
      </w:r>
      <w:r w:rsidR="00FD4BD1">
        <w:t xml:space="preserve"> </w:t>
      </w:r>
      <w:r w:rsidR="00A577E9">
        <w:t xml:space="preserve">will </w:t>
      </w:r>
      <w:r w:rsidR="009E1145">
        <w:t>al</w:t>
      </w:r>
      <w:r>
        <w:t>so</w:t>
      </w:r>
      <w:r w:rsidR="009E1145">
        <w:t xml:space="preserve"> </w:t>
      </w:r>
      <w:r w:rsidR="00A577E9">
        <w:t xml:space="preserve">address </w:t>
      </w:r>
      <w:r w:rsidR="00850917">
        <w:t xml:space="preserve">enforceability limits </w:t>
      </w:r>
      <w:r w:rsidR="00344CDC">
        <w:t>affecting such</w:t>
      </w:r>
      <w:r w:rsidR="00850917">
        <w:t xml:space="preserve"> provisions as conditional payment clauses, liquidated damages</w:t>
      </w:r>
      <w:r w:rsidR="00392FE5">
        <w:t xml:space="preserve">, and </w:t>
      </w:r>
      <w:r w:rsidR="00344CDC">
        <w:t>will also consider other</w:t>
      </w:r>
      <w:r w:rsidR="00392FE5">
        <w:t xml:space="preserve"> policy-based </w:t>
      </w:r>
      <w:r w:rsidR="00C44782">
        <w:t>principles</w:t>
      </w:r>
      <w:r w:rsidR="00C04433">
        <w:t xml:space="preserve"> and controls</w:t>
      </w:r>
      <w:r w:rsidR="00392FE5">
        <w:t xml:space="preserve"> </w:t>
      </w:r>
      <w:r w:rsidR="005E090E">
        <w:t>that legislatures and courts have imposed</w:t>
      </w:r>
      <w:r w:rsidR="000A07EE">
        <w:t xml:space="preserve"> </w:t>
      </w:r>
      <w:r w:rsidR="00C04433">
        <w:t>concer</w:t>
      </w:r>
      <w:r w:rsidR="000A1C8D">
        <w:t>n</w:t>
      </w:r>
      <w:r w:rsidR="00C04433">
        <w:t>ing</w:t>
      </w:r>
      <w:r w:rsidR="000A07EE">
        <w:t xml:space="preserve"> compensation</w:t>
      </w:r>
      <w:r w:rsidR="000A6B2B">
        <w:t xml:space="preserve"> for design and construction</w:t>
      </w:r>
      <w:r w:rsidR="005E090E">
        <w:t>.</w:t>
      </w:r>
    </w:p>
    <w:p w14:paraId="2F35875F" w14:textId="77777777" w:rsidR="009F1DF6" w:rsidRPr="00534169" w:rsidRDefault="009F1DF6" w:rsidP="00FB31AF"/>
    <w:p w14:paraId="1BC71BF2" w14:textId="52201393" w:rsidR="00FB31AF" w:rsidRDefault="00FB31AF" w:rsidP="000A07EE"/>
    <w:p w14:paraId="2B3635C7" w14:textId="09D01C3E" w:rsidR="438B8011" w:rsidRDefault="438B8011">
      <w:r>
        <w:br w:type="page"/>
      </w:r>
    </w:p>
    <w:p w14:paraId="69FDA6CB" w14:textId="1366265C" w:rsidR="00102A83" w:rsidRDefault="00102A83" w:rsidP="000A07EE">
      <w:r>
        <w:rPr>
          <w:u w:val="single"/>
        </w:rPr>
        <w:lastRenderedPageBreak/>
        <w:t>For Review and Discussion</w:t>
      </w:r>
    </w:p>
    <w:p w14:paraId="626F601A" w14:textId="77777777" w:rsidR="00102A83" w:rsidRDefault="00102A83" w:rsidP="000A07EE"/>
    <w:p w14:paraId="14295389" w14:textId="586C391B" w:rsidR="00102A83" w:rsidRDefault="001931BD" w:rsidP="00102A83">
      <w:pPr>
        <w:pStyle w:val="ListParagraph"/>
        <w:numPr>
          <w:ilvl w:val="0"/>
          <w:numId w:val="2"/>
        </w:numPr>
      </w:pPr>
      <w:r>
        <w:t xml:space="preserve">What </w:t>
      </w:r>
      <w:r w:rsidR="000978D7">
        <w:t>factors should a project owner consider when deciding whether to retain a builder on a fixed-price basis versus a cost-plus basis?</w:t>
      </w:r>
    </w:p>
    <w:p w14:paraId="4C322587" w14:textId="623D3A1C" w:rsidR="000978D7" w:rsidRDefault="00F14E68" w:rsidP="00102A83">
      <w:pPr>
        <w:pStyle w:val="ListParagraph"/>
        <w:numPr>
          <w:ilvl w:val="0"/>
          <w:numId w:val="2"/>
        </w:numPr>
      </w:pPr>
      <w:r>
        <w:t>When a construction contract provides for unit prices, how can a crafty or dishonest bidder use an unbalanced bid to its advantage?</w:t>
      </w:r>
    </w:p>
    <w:p w14:paraId="14108915" w14:textId="553442C2" w:rsidR="00F14E68" w:rsidRDefault="00F14E68" w:rsidP="00102A83">
      <w:pPr>
        <w:pStyle w:val="ListParagraph"/>
        <w:numPr>
          <w:ilvl w:val="0"/>
          <w:numId w:val="2"/>
        </w:numPr>
      </w:pPr>
      <w:r>
        <w:t>Can a</w:t>
      </w:r>
      <w:r w:rsidR="009F4706">
        <w:t xml:space="preserve"> variations</w:t>
      </w:r>
      <w:r w:rsidR="00F642F6">
        <w:t>-</w:t>
      </w:r>
      <w:r w:rsidR="009F4706">
        <w:t>in</w:t>
      </w:r>
      <w:r w:rsidR="00F642F6">
        <w:t>-</w:t>
      </w:r>
      <w:r w:rsidR="009F4706">
        <w:t>estimated quantities (VEQ) clause protect an owner against unbalanced bidd</w:t>
      </w:r>
      <w:r w:rsidR="00856E0D">
        <w:t>ing</w:t>
      </w:r>
      <w:r w:rsidR="009F4706">
        <w:t>? If so, how</w:t>
      </w:r>
      <w:r w:rsidR="0088770C">
        <w:t xml:space="preserve"> and to what extent</w:t>
      </w:r>
      <w:r w:rsidR="007E5C19">
        <w:t>?</w:t>
      </w:r>
      <w:r w:rsidR="009F4706">
        <w:t xml:space="preserve"> If not, why not?</w:t>
      </w:r>
    </w:p>
    <w:p w14:paraId="4BC545E3" w14:textId="2FA2D6C1" w:rsidR="009F4706" w:rsidRDefault="007E5C19" w:rsidP="00102A83">
      <w:pPr>
        <w:pStyle w:val="ListParagraph"/>
        <w:numPr>
          <w:ilvl w:val="0"/>
          <w:numId w:val="2"/>
        </w:numPr>
      </w:pPr>
      <w:r>
        <w:t xml:space="preserve">Review Section 8.3 of </w:t>
      </w:r>
      <w:proofErr w:type="spellStart"/>
      <w:r w:rsidR="00631882">
        <w:t>ConsensusDOCs</w:t>
      </w:r>
      <w:proofErr w:type="spellEnd"/>
      <w:r w:rsidR="00631882">
        <w:t xml:space="preserve"> 410 (2017), which is reproduced below. </w:t>
      </w:r>
      <w:r w:rsidR="00C820A1">
        <w:t xml:space="preserve">Is this provision balanced and fair to both parties, or </w:t>
      </w:r>
      <w:r w:rsidR="00F35813">
        <w:t>might either the owner or the design-builder logically consider proposing changes to it?</w:t>
      </w:r>
    </w:p>
    <w:p w14:paraId="7506BE39" w14:textId="77777777" w:rsidR="00F35813" w:rsidRDefault="00F35813" w:rsidP="00F35813"/>
    <w:p w14:paraId="42DEA516" w14:textId="45E74BFE" w:rsidR="00FB31AF" w:rsidRDefault="00D17503" w:rsidP="002F58C8">
      <w:pPr>
        <w:ind w:left="1440"/>
      </w:pPr>
      <w:r>
        <w:t>8.3</w:t>
      </w:r>
      <w:r w:rsidR="002F58C8">
        <w:t>.</w:t>
      </w:r>
      <w:r>
        <w:t xml:space="preserve"> DISCOUNTS All discounts for prompt payment shall accrue to Owner to the extent such payments are made directly by Owner. To the extent payments are made with funds of Design-Builder, all cash discounts shall accrue to Design-Build</w:t>
      </w:r>
      <w:r w:rsidR="001C6DAF">
        <w:t xml:space="preserve">er. All trade discounts, rebates, and refunds, and all returns from sale of surplus materials and equipment, shall be credited to the Cost of the </w:t>
      </w:r>
      <w:r w:rsidR="009D0647">
        <w:t>W</w:t>
      </w:r>
      <w:r w:rsidR="001C6DAF">
        <w:t>ork.</w:t>
      </w:r>
    </w:p>
    <w:sectPr w:rsidR="00FB31A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A6222" w14:textId="77777777" w:rsidR="000421D5" w:rsidRDefault="000421D5" w:rsidP="00555909">
      <w:r>
        <w:separator/>
      </w:r>
    </w:p>
  </w:endnote>
  <w:endnote w:type="continuationSeparator" w:id="0">
    <w:p w14:paraId="38B7E22F" w14:textId="77777777" w:rsidR="000421D5" w:rsidRDefault="000421D5" w:rsidP="0055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A7609" w14:textId="4ADDC876" w:rsidR="438B8011" w:rsidRDefault="438B8011" w:rsidP="00BE57F6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BE57F6">
      <w:rPr>
        <w:noProof/>
      </w:rPr>
      <w:t>1</w:t>
    </w:r>
    <w:r>
      <w:fldChar w:fldCharType="end"/>
    </w:r>
  </w:p>
  <w:p w14:paraId="2BBA5F7C" w14:textId="5D599BB7" w:rsidR="00EB7CD3" w:rsidRDefault="438B8011" w:rsidP="438B8011">
    <w:pPr>
      <w:pStyle w:val="Footer"/>
      <w:rPr>
        <w:noProof/>
      </w:rPr>
    </w:pPr>
    <w:r>
      <w:t>© Carl J. Circo 2024</w:t>
    </w:r>
    <w:r w:rsidR="00381FDE">
      <w:ptab w:relativeTo="margin" w:alignment="center" w:leader="none"/>
    </w:r>
    <w:r w:rsidR="00381FDE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B7756" w14:textId="77777777" w:rsidR="000421D5" w:rsidRDefault="000421D5" w:rsidP="00555909">
      <w:r>
        <w:separator/>
      </w:r>
    </w:p>
  </w:footnote>
  <w:footnote w:type="continuationSeparator" w:id="0">
    <w:p w14:paraId="76531FDA" w14:textId="77777777" w:rsidR="000421D5" w:rsidRDefault="000421D5" w:rsidP="00555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26022" w14:textId="0CE289BF" w:rsidR="00555909" w:rsidRDefault="00555909">
    <w:pPr>
      <w:pStyle w:val="Header"/>
    </w:pPr>
    <w:r>
      <w:t>Work-in-progress, September 2024</w:t>
    </w:r>
  </w:p>
  <w:p w14:paraId="7F6D12EB" w14:textId="77777777" w:rsidR="00555909" w:rsidRDefault="0055590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Qdau3Z7joiAG4" int2:id="DVXDFsTm">
      <int2:state int2:value="Rejected" int2:type="AugLoop_Text_Critique"/>
    </int2:textHash>
    <int2:bookmark int2:bookmarkName="_Int_bKK59o7E" int2:invalidationBookmarkName="" int2:hashCode="U1rmeP0zyqIvM1" int2:id="S0lUW443">
      <int2:state int2:value="Rejected" int2:type="AugLoop_Text_Critique"/>
    </int2:bookmark>
    <int2:bookmark int2:bookmarkName="_Int_ucejmOjU" int2:invalidationBookmarkName="" int2:hashCode="dh6QXbYtH5Z7qU" int2:id="rXN1c6H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6B6B"/>
    <w:multiLevelType w:val="hybridMultilevel"/>
    <w:tmpl w:val="4B40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55C27"/>
    <w:multiLevelType w:val="hybridMultilevel"/>
    <w:tmpl w:val="4D540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863874">
    <w:abstractNumId w:val="1"/>
  </w:num>
  <w:num w:numId="2" w16cid:durableId="2020890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AF"/>
    <w:rsid w:val="0000113B"/>
    <w:rsid w:val="00007E1B"/>
    <w:rsid w:val="00014ADA"/>
    <w:rsid w:val="00023B33"/>
    <w:rsid w:val="00024C68"/>
    <w:rsid w:val="00027010"/>
    <w:rsid w:val="00034023"/>
    <w:rsid w:val="0003675D"/>
    <w:rsid w:val="000373E3"/>
    <w:rsid w:val="000421D5"/>
    <w:rsid w:val="000450BD"/>
    <w:rsid w:val="000508CF"/>
    <w:rsid w:val="00063FEC"/>
    <w:rsid w:val="000671EA"/>
    <w:rsid w:val="00071F36"/>
    <w:rsid w:val="00073F02"/>
    <w:rsid w:val="00074BC8"/>
    <w:rsid w:val="00076E3A"/>
    <w:rsid w:val="00082F0C"/>
    <w:rsid w:val="000978D7"/>
    <w:rsid w:val="000A024F"/>
    <w:rsid w:val="000A07EE"/>
    <w:rsid w:val="000A1C8D"/>
    <w:rsid w:val="000A5A2B"/>
    <w:rsid w:val="000A6B2B"/>
    <w:rsid w:val="000C3865"/>
    <w:rsid w:val="000D00E9"/>
    <w:rsid w:val="000F3F71"/>
    <w:rsid w:val="000F4F9F"/>
    <w:rsid w:val="000F6970"/>
    <w:rsid w:val="00102A83"/>
    <w:rsid w:val="0010485C"/>
    <w:rsid w:val="001114BB"/>
    <w:rsid w:val="00113BCC"/>
    <w:rsid w:val="0011552B"/>
    <w:rsid w:val="00125291"/>
    <w:rsid w:val="001339B1"/>
    <w:rsid w:val="001346D4"/>
    <w:rsid w:val="00137C19"/>
    <w:rsid w:val="001420CE"/>
    <w:rsid w:val="001443D4"/>
    <w:rsid w:val="00146D43"/>
    <w:rsid w:val="00146F68"/>
    <w:rsid w:val="0015581B"/>
    <w:rsid w:val="00173EEB"/>
    <w:rsid w:val="001773BF"/>
    <w:rsid w:val="00184704"/>
    <w:rsid w:val="00187C64"/>
    <w:rsid w:val="001931BD"/>
    <w:rsid w:val="001B23FE"/>
    <w:rsid w:val="001B4A16"/>
    <w:rsid w:val="001B6D9B"/>
    <w:rsid w:val="001C6DAF"/>
    <w:rsid w:val="001C6F7A"/>
    <w:rsid w:val="001D2268"/>
    <w:rsid w:val="001D3EF4"/>
    <w:rsid w:val="001E67DA"/>
    <w:rsid w:val="001F6A7F"/>
    <w:rsid w:val="002033CB"/>
    <w:rsid w:val="002037B8"/>
    <w:rsid w:val="002254B5"/>
    <w:rsid w:val="00227453"/>
    <w:rsid w:val="00234F4B"/>
    <w:rsid w:val="00241ABA"/>
    <w:rsid w:val="00243C98"/>
    <w:rsid w:val="00245F92"/>
    <w:rsid w:val="00252C1D"/>
    <w:rsid w:val="00253201"/>
    <w:rsid w:val="002571F2"/>
    <w:rsid w:val="00261C68"/>
    <w:rsid w:val="00263300"/>
    <w:rsid w:val="00275F19"/>
    <w:rsid w:val="0028262B"/>
    <w:rsid w:val="00282760"/>
    <w:rsid w:val="002844B8"/>
    <w:rsid w:val="00291D09"/>
    <w:rsid w:val="00293545"/>
    <w:rsid w:val="002A0464"/>
    <w:rsid w:val="002A6DDA"/>
    <w:rsid w:val="002B4BC7"/>
    <w:rsid w:val="002B6FC0"/>
    <w:rsid w:val="002C036E"/>
    <w:rsid w:val="002C20F8"/>
    <w:rsid w:val="002C2FB8"/>
    <w:rsid w:val="002C35A4"/>
    <w:rsid w:val="002C454A"/>
    <w:rsid w:val="002C4E05"/>
    <w:rsid w:val="002C644E"/>
    <w:rsid w:val="002C7F7A"/>
    <w:rsid w:val="002D011D"/>
    <w:rsid w:val="002E71EF"/>
    <w:rsid w:val="002F14E6"/>
    <w:rsid w:val="002F58C8"/>
    <w:rsid w:val="002F5BF7"/>
    <w:rsid w:val="002F6DBB"/>
    <w:rsid w:val="00304BD3"/>
    <w:rsid w:val="0031461E"/>
    <w:rsid w:val="00317A1A"/>
    <w:rsid w:val="00326B9E"/>
    <w:rsid w:val="003312D8"/>
    <w:rsid w:val="00335E5D"/>
    <w:rsid w:val="00341026"/>
    <w:rsid w:val="00344CDC"/>
    <w:rsid w:val="00346BC2"/>
    <w:rsid w:val="0035230E"/>
    <w:rsid w:val="00352FD4"/>
    <w:rsid w:val="00353F7D"/>
    <w:rsid w:val="00361FD6"/>
    <w:rsid w:val="003640CC"/>
    <w:rsid w:val="00364C64"/>
    <w:rsid w:val="003749F7"/>
    <w:rsid w:val="00380F0D"/>
    <w:rsid w:val="00381FDE"/>
    <w:rsid w:val="0039245A"/>
    <w:rsid w:val="00392FE5"/>
    <w:rsid w:val="003A43FB"/>
    <w:rsid w:val="003B1CCD"/>
    <w:rsid w:val="003B2068"/>
    <w:rsid w:val="003B47A4"/>
    <w:rsid w:val="003C0A69"/>
    <w:rsid w:val="003E24C3"/>
    <w:rsid w:val="003E2758"/>
    <w:rsid w:val="003E74B0"/>
    <w:rsid w:val="003E7FEF"/>
    <w:rsid w:val="003F1D05"/>
    <w:rsid w:val="00405DEA"/>
    <w:rsid w:val="00406446"/>
    <w:rsid w:val="004067A5"/>
    <w:rsid w:val="00413E6C"/>
    <w:rsid w:val="00415A4B"/>
    <w:rsid w:val="0042537B"/>
    <w:rsid w:val="0043664F"/>
    <w:rsid w:val="004415A2"/>
    <w:rsid w:val="00451C1E"/>
    <w:rsid w:val="00452040"/>
    <w:rsid w:val="00454288"/>
    <w:rsid w:val="00456105"/>
    <w:rsid w:val="004566C1"/>
    <w:rsid w:val="00465EE7"/>
    <w:rsid w:val="004809CF"/>
    <w:rsid w:val="00480F37"/>
    <w:rsid w:val="004A326E"/>
    <w:rsid w:val="004B04B2"/>
    <w:rsid w:val="004B4004"/>
    <w:rsid w:val="004C12DD"/>
    <w:rsid w:val="004C264C"/>
    <w:rsid w:val="004C2919"/>
    <w:rsid w:val="004D1C2B"/>
    <w:rsid w:val="004D2FD0"/>
    <w:rsid w:val="004D357C"/>
    <w:rsid w:val="004D39C9"/>
    <w:rsid w:val="004D3C1D"/>
    <w:rsid w:val="004E079A"/>
    <w:rsid w:val="004E3A53"/>
    <w:rsid w:val="004E480F"/>
    <w:rsid w:val="004F5C59"/>
    <w:rsid w:val="004F6CE9"/>
    <w:rsid w:val="00510E91"/>
    <w:rsid w:val="00511FB9"/>
    <w:rsid w:val="00521B31"/>
    <w:rsid w:val="00523BC7"/>
    <w:rsid w:val="00530076"/>
    <w:rsid w:val="00534169"/>
    <w:rsid w:val="00535431"/>
    <w:rsid w:val="00547943"/>
    <w:rsid w:val="00555909"/>
    <w:rsid w:val="00557549"/>
    <w:rsid w:val="00564657"/>
    <w:rsid w:val="00566B26"/>
    <w:rsid w:val="005752A0"/>
    <w:rsid w:val="00586C26"/>
    <w:rsid w:val="0059376B"/>
    <w:rsid w:val="00595EBA"/>
    <w:rsid w:val="0059712C"/>
    <w:rsid w:val="005A40A2"/>
    <w:rsid w:val="005A6657"/>
    <w:rsid w:val="005A70D7"/>
    <w:rsid w:val="005B4FCF"/>
    <w:rsid w:val="005D37D9"/>
    <w:rsid w:val="005E090E"/>
    <w:rsid w:val="005E3528"/>
    <w:rsid w:val="005E484D"/>
    <w:rsid w:val="005E7243"/>
    <w:rsid w:val="005E76B0"/>
    <w:rsid w:val="005E7960"/>
    <w:rsid w:val="005E7A2E"/>
    <w:rsid w:val="005F3DDF"/>
    <w:rsid w:val="006014A8"/>
    <w:rsid w:val="006017C1"/>
    <w:rsid w:val="006140AE"/>
    <w:rsid w:val="00617930"/>
    <w:rsid w:val="00617C1A"/>
    <w:rsid w:val="0062436E"/>
    <w:rsid w:val="00627FB7"/>
    <w:rsid w:val="00631882"/>
    <w:rsid w:val="0063344C"/>
    <w:rsid w:val="00633928"/>
    <w:rsid w:val="006665EB"/>
    <w:rsid w:val="00667EAC"/>
    <w:rsid w:val="00676EA3"/>
    <w:rsid w:val="00690737"/>
    <w:rsid w:val="006A37B1"/>
    <w:rsid w:val="006A5E80"/>
    <w:rsid w:val="006A6BE6"/>
    <w:rsid w:val="006B61B7"/>
    <w:rsid w:val="006C66EC"/>
    <w:rsid w:val="006C6CD1"/>
    <w:rsid w:val="006C75F0"/>
    <w:rsid w:val="006D35E4"/>
    <w:rsid w:val="006D5E28"/>
    <w:rsid w:val="006D6186"/>
    <w:rsid w:val="006E1D41"/>
    <w:rsid w:val="006E396F"/>
    <w:rsid w:val="00703154"/>
    <w:rsid w:val="00726987"/>
    <w:rsid w:val="007369F5"/>
    <w:rsid w:val="00744FC2"/>
    <w:rsid w:val="00745B2E"/>
    <w:rsid w:val="00746250"/>
    <w:rsid w:val="00746989"/>
    <w:rsid w:val="00754FA0"/>
    <w:rsid w:val="007578B6"/>
    <w:rsid w:val="00761A82"/>
    <w:rsid w:val="007664BD"/>
    <w:rsid w:val="00781AD7"/>
    <w:rsid w:val="00797508"/>
    <w:rsid w:val="007A1A06"/>
    <w:rsid w:val="007B311E"/>
    <w:rsid w:val="007B5564"/>
    <w:rsid w:val="007C688D"/>
    <w:rsid w:val="007E05B6"/>
    <w:rsid w:val="007E140E"/>
    <w:rsid w:val="007E299C"/>
    <w:rsid w:val="007E5C19"/>
    <w:rsid w:val="007E5D45"/>
    <w:rsid w:val="007E758B"/>
    <w:rsid w:val="007F06B2"/>
    <w:rsid w:val="007F43C0"/>
    <w:rsid w:val="007F65F4"/>
    <w:rsid w:val="0080297A"/>
    <w:rsid w:val="00804245"/>
    <w:rsid w:val="00810674"/>
    <w:rsid w:val="0081177D"/>
    <w:rsid w:val="00816B2A"/>
    <w:rsid w:val="00816BF9"/>
    <w:rsid w:val="00827FBA"/>
    <w:rsid w:val="00830ED2"/>
    <w:rsid w:val="008337DA"/>
    <w:rsid w:val="00835686"/>
    <w:rsid w:val="0083793D"/>
    <w:rsid w:val="00842692"/>
    <w:rsid w:val="00846AA2"/>
    <w:rsid w:val="00850917"/>
    <w:rsid w:val="008535E6"/>
    <w:rsid w:val="00856E0D"/>
    <w:rsid w:val="00861A04"/>
    <w:rsid w:val="0087479F"/>
    <w:rsid w:val="00874932"/>
    <w:rsid w:val="00875867"/>
    <w:rsid w:val="00885755"/>
    <w:rsid w:val="0088770C"/>
    <w:rsid w:val="00895BFF"/>
    <w:rsid w:val="008965B2"/>
    <w:rsid w:val="008A5EFA"/>
    <w:rsid w:val="008C7988"/>
    <w:rsid w:val="008D05CA"/>
    <w:rsid w:val="008D105C"/>
    <w:rsid w:val="008D5ED6"/>
    <w:rsid w:val="0090031F"/>
    <w:rsid w:val="00901E84"/>
    <w:rsid w:val="009025AA"/>
    <w:rsid w:val="009052B0"/>
    <w:rsid w:val="00923310"/>
    <w:rsid w:val="00923E37"/>
    <w:rsid w:val="00927E50"/>
    <w:rsid w:val="009321A7"/>
    <w:rsid w:val="009429FB"/>
    <w:rsid w:val="00950D29"/>
    <w:rsid w:val="00950D47"/>
    <w:rsid w:val="0095449C"/>
    <w:rsid w:val="009545D9"/>
    <w:rsid w:val="00956F0E"/>
    <w:rsid w:val="0096501A"/>
    <w:rsid w:val="00977EDD"/>
    <w:rsid w:val="009808A3"/>
    <w:rsid w:val="00987D19"/>
    <w:rsid w:val="009923E7"/>
    <w:rsid w:val="009A2C8B"/>
    <w:rsid w:val="009A5FC1"/>
    <w:rsid w:val="009B0CDC"/>
    <w:rsid w:val="009B3883"/>
    <w:rsid w:val="009B4682"/>
    <w:rsid w:val="009B6F1A"/>
    <w:rsid w:val="009C654C"/>
    <w:rsid w:val="009D0647"/>
    <w:rsid w:val="009D0F7F"/>
    <w:rsid w:val="009D7447"/>
    <w:rsid w:val="009D76F0"/>
    <w:rsid w:val="009D78B6"/>
    <w:rsid w:val="009E1145"/>
    <w:rsid w:val="009F1DF6"/>
    <w:rsid w:val="009F4706"/>
    <w:rsid w:val="009F64EA"/>
    <w:rsid w:val="00A02773"/>
    <w:rsid w:val="00A0751E"/>
    <w:rsid w:val="00A10D29"/>
    <w:rsid w:val="00A12C9F"/>
    <w:rsid w:val="00A2216F"/>
    <w:rsid w:val="00A31CDC"/>
    <w:rsid w:val="00A335A3"/>
    <w:rsid w:val="00A40623"/>
    <w:rsid w:val="00A45EE5"/>
    <w:rsid w:val="00A51301"/>
    <w:rsid w:val="00A528FE"/>
    <w:rsid w:val="00A577E9"/>
    <w:rsid w:val="00A57C47"/>
    <w:rsid w:val="00A57D21"/>
    <w:rsid w:val="00A65054"/>
    <w:rsid w:val="00A67004"/>
    <w:rsid w:val="00A67B0D"/>
    <w:rsid w:val="00A705E2"/>
    <w:rsid w:val="00A7454C"/>
    <w:rsid w:val="00A85147"/>
    <w:rsid w:val="00AA540E"/>
    <w:rsid w:val="00AA5F80"/>
    <w:rsid w:val="00AA6450"/>
    <w:rsid w:val="00AA6461"/>
    <w:rsid w:val="00AB12B0"/>
    <w:rsid w:val="00AC5618"/>
    <w:rsid w:val="00AD009D"/>
    <w:rsid w:val="00AD52BD"/>
    <w:rsid w:val="00AE007F"/>
    <w:rsid w:val="00AF74AE"/>
    <w:rsid w:val="00B150AC"/>
    <w:rsid w:val="00B16EE4"/>
    <w:rsid w:val="00B21D0A"/>
    <w:rsid w:val="00B3457C"/>
    <w:rsid w:val="00B46A60"/>
    <w:rsid w:val="00B47642"/>
    <w:rsid w:val="00B572FD"/>
    <w:rsid w:val="00B63660"/>
    <w:rsid w:val="00B77F40"/>
    <w:rsid w:val="00B920EC"/>
    <w:rsid w:val="00B9384F"/>
    <w:rsid w:val="00BA44D7"/>
    <w:rsid w:val="00BA55B4"/>
    <w:rsid w:val="00BB588A"/>
    <w:rsid w:val="00BC33C1"/>
    <w:rsid w:val="00BD3347"/>
    <w:rsid w:val="00BD3960"/>
    <w:rsid w:val="00BE15AB"/>
    <w:rsid w:val="00BE1B23"/>
    <w:rsid w:val="00BE57F6"/>
    <w:rsid w:val="00BF49AC"/>
    <w:rsid w:val="00C012B3"/>
    <w:rsid w:val="00C015A0"/>
    <w:rsid w:val="00C04433"/>
    <w:rsid w:val="00C11536"/>
    <w:rsid w:val="00C21EEB"/>
    <w:rsid w:val="00C22741"/>
    <w:rsid w:val="00C25F9E"/>
    <w:rsid w:val="00C44782"/>
    <w:rsid w:val="00C44C01"/>
    <w:rsid w:val="00C51673"/>
    <w:rsid w:val="00C617EE"/>
    <w:rsid w:val="00C66BC5"/>
    <w:rsid w:val="00C71D1E"/>
    <w:rsid w:val="00C7371A"/>
    <w:rsid w:val="00C74643"/>
    <w:rsid w:val="00C77773"/>
    <w:rsid w:val="00C80EA0"/>
    <w:rsid w:val="00C820A1"/>
    <w:rsid w:val="00CB57E4"/>
    <w:rsid w:val="00CC0C31"/>
    <w:rsid w:val="00CC3469"/>
    <w:rsid w:val="00CD233B"/>
    <w:rsid w:val="00CD4B0A"/>
    <w:rsid w:val="00CD729A"/>
    <w:rsid w:val="00CE4DBC"/>
    <w:rsid w:val="00CE51C3"/>
    <w:rsid w:val="00CE731D"/>
    <w:rsid w:val="00CF4B73"/>
    <w:rsid w:val="00CF5FB6"/>
    <w:rsid w:val="00D000F3"/>
    <w:rsid w:val="00D01949"/>
    <w:rsid w:val="00D022BA"/>
    <w:rsid w:val="00D03D5C"/>
    <w:rsid w:val="00D05CD4"/>
    <w:rsid w:val="00D1438A"/>
    <w:rsid w:val="00D17503"/>
    <w:rsid w:val="00D44BFA"/>
    <w:rsid w:val="00D62464"/>
    <w:rsid w:val="00D6423A"/>
    <w:rsid w:val="00D6562B"/>
    <w:rsid w:val="00D659CF"/>
    <w:rsid w:val="00D71CB6"/>
    <w:rsid w:val="00D722CA"/>
    <w:rsid w:val="00D76E70"/>
    <w:rsid w:val="00D778B9"/>
    <w:rsid w:val="00D80576"/>
    <w:rsid w:val="00D81B4A"/>
    <w:rsid w:val="00D85CD2"/>
    <w:rsid w:val="00D866C7"/>
    <w:rsid w:val="00D876F0"/>
    <w:rsid w:val="00D87EA8"/>
    <w:rsid w:val="00DA2DF8"/>
    <w:rsid w:val="00DB3339"/>
    <w:rsid w:val="00DD3C29"/>
    <w:rsid w:val="00DD644C"/>
    <w:rsid w:val="00DD680B"/>
    <w:rsid w:val="00DD79C9"/>
    <w:rsid w:val="00DE021A"/>
    <w:rsid w:val="00DF107D"/>
    <w:rsid w:val="00DF62AE"/>
    <w:rsid w:val="00DF7EA1"/>
    <w:rsid w:val="00E12AFA"/>
    <w:rsid w:val="00E22028"/>
    <w:rsid w:val="00E22B62"/>
    <w:rsid w:val="00E337F3"/>
    <w:rsid w:val="00E33A60"/>
    <w:rsid w:val="00E3560C"/>
    <w:rsid w:val="00E36F6F"/>
    <w:rsid w:val="00E54792"/>
    <w:rsid w:val="00E60BB2"/>
    <w:rsid w:val="00E66289"/>
    <w:rsid w:val="00E74FE1"/>
    <w:rsid w:val="00E7620A"/>
    <w:rsid w:val="00E83CF5"/>
    <w:rsid w:val="00E84277"/>
    <w:rsid w:val="00E86345"/>
    <w:rsid w:val="00E87D41"/>
    <w:rsid w:val="00E919B7"/>
    <w:rsid w:val="00E92D27"/>
    <w:rsid w:val="00E97677"/>
    <w:rsid w:val="00EA1256"/>
    <w:rsid w:val="00EA66F5"/>
    <w:rsid w:val="00EB7CD3"/>
    <w:rsid w:val="00EC2691"/>
    <w:rsid w:val="00EC3D21"/>
    <w:rsid w:val="00ED1C08"/>
    <w:rsid w:val="00ED43DD"/>
    <w:rsid w:val="00ED5749"/>
    <w:rsid w:val="00ED7645"/>
    <w:rsid w:val="00EE1B77"/>
    <w:rsid w:val="00EE4E55"/>
    <w:rsid w:val="00EF2EDD"/>
    <w:rsid w:val="00EF626A"/>
    <w:rsid w:val="00F0012A"/>
    <w:rsid w:val="00F10243"/>
    <w:rsid w:val="00F10A51"/>
    <w:rsid w:val="00F12AA4"/>
    <w:rsid w:val="00F14E68"/>
    <w:rsid w:val="00F1593A"/>
    <w:rsid w:val="00F22AAB"/>
    <w:rsid w:val="00F24C25"/>
    <w:rsid w:val="00F31DAC"/>
    <w:rsid w:val="00F34F88"/>
    <w:rsid w:val="00F35813"/>
    <w:rsid w:val="00F42994"/>
    <w:rsid w:val="00F47E69"/>
    <w:rsid w:val="00F51547"/>
    <w:rsid w:val="00F6165A"/>
    <w:rsid w:val="00F63903"/>
    <w:rsid w:val="00F642F6"/>
    <w:rsid w:val="00F720F2"/>
    <w:rsid w:val="00F72485"/>
    <w:rsid w:val="00F771F1"/>
    <w:rsid w:val="00F818DF"/>
    <w:rsid w:val="00FA0062"/>
    <w:rsid w:val="00FA1B93"/>
    <w:rsid w:val="00FB31AF"/>
    <w:rsid w:val="00FB4F48"/>
    <w:rsid w:val="00FB69BC"/>
    <w:rsid w:val="00FC6873"/>
    <w:rsid w:val="00FD1EE4"/>
    <w:rsid w:val="00FD4BD1"/>
    <w:rsid w:val="00FD639A"/>
    <w:rsid w:val="00FE451A"/>
    <w:rsid w:val="00FE4D78"/>
    <w:rsid w:val="00FE5492"/>
    <w:rsid w:val="00FF29BA"/>
    <w:rsid w:val="1C704410"/>
    <w:rsid w:val="25308EF5"/>
    <w:rsid w:val="318243B0"/>
    <w:rsid w:val="3538BC46"/>
    <w:rsid w:val="428DC5DC"/>
    <w:rsid w:val="438B8011"/>
    <w:rsid w:val="455AB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6B2B8"/>
  <w15:chartTrackingRefBased/>
  <w15:docId w15:val="{DD533731-2B26-486F-9811-415CA771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1A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AF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1AF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1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1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1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1A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1A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1A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1A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1AF"/>
    <w:rPr>
      <w:rFonts w:eastAsiaTheme="majorEastAsia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1A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1A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1A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1A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1A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1A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1A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1A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1AF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1AF"/>
    <w:rPr>
      <w:rFonts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1A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1A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1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1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1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1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1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1A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5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909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55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909"/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BE57F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1730</Words>
  <Characters>9862</Characters>
  <Application>Microsoft Office Word</Application>
  <DocSecurity>0</DocSecurity>
  <Lines>82</Lines>
  <Paragraphs>23</Paragraphs>
  <ScaleCrop>false</ScaleCrop>
  <Company/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J. Circo</dc:creator>
  <cp:keywords/>
  <dc:description/>
  <cp:lastModifiedBy>Bailey Lovett</cp:lastModifiedBy>
  <cp:revision>5</cp:revision>
  <dcterms:created xsi:type="dcterms:W3CDTF">2024-09-06T14:52:00Z</dcterms:created>
  <dcterms:modified xsi:type="dcterms:W3CDTF">2024-09-20T14:48:00Z</dcterms:modified>
</cp:coreProperties>
</file>