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5191" w14:textId="314CDC39" w:rsidR="00EF3000" w:rsidRPr="001E1BD7" w:rsidRDefault="00EF3000" w:rsidP="00EF3000">
      <w:pPr>
        <w:pStyle w:val="SMHTitleBoldCentered"/>
      </w:pPr>
      <w:r>
        <w:t>Construction Law for Design Professionals, Construction Managers, and Other Industry Professionals Guide</w:t>
      </w:r>
    </w:p>
    <w:p w14:paraId="2143E040" w14:textId="77777777" w:rsidR="00EF3000" w:rsidRDefault="00EF3000" w:rsidP="00EF3000">
      <w:pPr>
        <w:jc w:val="center"/>
      </w:pPr>
      <w:r>
        <w:t>Carl Circo</w:t>
      </w:r>
    </w:p>
    <w:p w14:paraId="43FEB00C" w14:textId="77777777" w:rsidR="00EF3000" w:rsidRDefault="00EF3000" w:rsidP="00EF3000">
      <w:pPr>
        <w:jc w:val="center"/>
      </w:pPr>
    </w:p>
    <w:p w14:paraId="663BD799" w14:textId="5A00F861" w:rsidR="0063344C" w:rsidRDefault="00EF3000" w:rsidP="00EF3000">
      <w:pPr>
        <w:rPr>
          <w:bCs/>
        </w:rPr>
      </w:pPr>
      <w:r>
        <w:rPr>
          <w:b/>
        </w:rPr>
        <w:tab/>
      </w:r>
      <w:r w:rsidRPr="00EF3000">
        <w:rPr>
          <w:bCs/>
        </w:rPr>
        <w:t>The syllabus for this course is designed for a three-credit course introducing</w:t>
      </w:r>
      <w:r>
        <w:rPr>
          <w:b/>
        </w:rPr>
        <w:t xml:space="preserve"> </w:t>
      </w:r>
      <w:r w:rsidRPr="00EF3000">
        <w:rPr>
          <w:bCs/>
        </w:rPr>
        <w:t xml:space="preserve">construction law </w:t>
      </w:r>
      <w:r w:rsidR="00A7395B">
        <w:rPr>
          <w:bCs/>
        </w:rPr>
        <w:t>to</w:t>
      </w:r>
      <w:r w:rsidRPr="00EF3000">
        <w:rPr>
          <w:bCs/>
        </w:rPr>
        <w:t xml:space="preserve"> engineers, architects, contractors, construction managers and other industry professionals. The reading assignments are from </w:t>
      </w:r>
      <w:r w:rsidRPr="00EF3000">
        <w:rPr>
          <w:bCs/>
          <w:i/>
          <w:iCs/>
        </w:rPr>
        <w:t xml:space="preserve">Construction Law for Design Professionals, Construction Managers, and Contractors </w:t>
      </w:r>
      <w:r w:rsidRPr="00EF3000">
        <w:rPr>
          <w:bCs/>
        </w:rPr>
        <w:t>(Cengage Learning, 2015), by Justin Sweet, Marc M. Schneier, &amp; Blake Wentz.</w:t>
      </w:r>
      <w:r w:rsidR="009B7970">
        <w:rPr>
          <w:bCs/>
        </w:rPr>
        <w:t xml:space="preserve"> </w:t>
      </w:r>
      <w:r w:rsidR="00C70D99">
        <w:rPr>
          <w:bCs/>
        </w:rPr>
        <w:t>The syllabus tracks the full coverage of the textbook</w:t>
      </w:r>
      <w:r w:rsidR="00FE7835">
        <w:rPr>
          <w:bCs/>
        </w:rPr>
        <w:t xml:space="preserve"> and assumes a term extending over 14 weeks.</w:t>
      </w:r>
      <w:r w:rsidR="00444CB9">
        <w:rPr>
          <w:bCs/>
        </w:rPr>
        <w:t xml:space="preserve"> </w:t>
      </w:r>
      <w:r w:rsidR="00444CB9" w:rsidRPr="00FA46B3">
        <w:rPr>
          <w:b/>
        </w:rPr>
        <w:t>As the title indicates, this course is for construction industry professionals</w:t>
      </w:r>
      <w:r w:rsidR="00DE7C68" w:rsidRPr="00FA46B3">
        <w:rPr>
          <w:b/>
        </w:rPr>
        <w:t>, not for law students.</w:t>
      </w:r>
      <w:r w:rsidR="00DE7C68">
        <w:rPr>
          <w:bCs/>
        </w:rPr>
        <w:t xml:space="preserve"> </w:t>
      </w:r>
      <w:r w:rsidR="001A51E1">
        <w:rPr>
          <w:bCs/>
        </w:rPr>
        <w:t xml:space="preserve">The intent is to offer relatively </w:t>
      </w:r>
      <w:r w:rsidR="006E1698">
        <w:rPr>
          <w:bCs/>
        </w:rPr>
        <w:t xml:space="preserve">limited, introductory </w:t>
      </w:r>
      <w:r w:rsidR="009E0D41">
        <w:rPr>
          <w:bCs/>
        </w:rPr>
        <w:t>treatment</w:t>
      </w:r>
      <w:r w:rsidR="006E1698">
        <w:rPr>
          <w:bCs/>
        </w:rPr>
        <w:t xml:space="preserve"> of a broad range of legal topics for students in engineering, architecture, construction management</w:t>
      </w:r>
      <w:r w:rsidR="004E46FB">
        <w:rPr>
          <w:bCs/>
        </w:rPr>
        <w:t>,</w:t>
      </w:r>
      <w:r w:rsidR="006E1698">
        <w:rPr>
          <w:bCs/>
        </w:rPr>
        <w:t xml:space="preserve"> or similar programs, either at the undergraduate or graduate level.</w:t>
      </w:r>
      <w:r w:rsidR="007D069A">
        <w:rPr>
          <w:bCs/>
        </w:rPr>
        <w:t xml:space="preserve"> The</w:t>
      </w:r>
      <w:r w:rsidR="008F6FF7">
        <w:rPr>
          <w:bCs/>
        </w:rPr>
        <w:t xml:space="preserve"> syllabus front loads the</w:t>
      </w:r>
      <w:r w:rsidR="007D069A">
        <w:rPr>
          <w:bCs/>
        </w:rPr>
        <w:t xml:space="preserve"> reading assignments on the assumption that students can absorb the background material on the legal system and fundamentals of contract and tort law with limited classroom or lecture time so that </w:t>
      </w:r>
      <w:r w:rsidR="00496EF3">
        <w:rPr>
          <w:bCs/>
        </w:rPr>
        <w:t>the materials</w:t>
      </w:r>
      <w:r w:rsidR="007D069A">
        <w:rPr>
          <w:bCs/>
        </w:rPr>
        <w:t xml:space="preserve"> more specific</w:t>
      </w:r>
      <w:r w:rsidR="00C40A96">
        <w:rPr>
          <w:bCs/>
        </w:rPr>
        <w:t>ally</w:t>
      </w:r>
      <w:r w:rsidR="007D069A">
        <w:rPr>
          <w:bCs/>
        </w:rPr>
        <w:t xml:space="preserve"> </w:t>
      </w:r>
      <w:r w:rsidR="00C40A96">
        <w:rPr>
          <w:bCs/>
        </w:rPr>
        <w:t>relevant</w:t>
      </w:r>
      <w:r w:rsidR="007D069A">
        <w:rPr>
          <w:bCs/>
        </w:rPr>
        <w:t xml:space="preserve"> to construction industry professionals</w:t>
      </w:r>
      <w:r w:rsidR="00CB49B5">
        <w:rPr>
          <w:bCs/>
        </w:rPr>
        <w:t xml:space="preserve"> </w:t>
      </w:r>
      <w:r w:rsidR="009016A5">
        <w:rPr>
          <w:bCs/>
        </w:rPr>
        <w:t>may receive</w:t>
      </w:r>
      <w:r w:rsidR="007D069A">
        <w:rPr>
          <w:bCs/>
        </w:rPr>
        <w:t xml:space="preserve"> greater attention and time.</w:t>
      </w:r>
    </w:p>
    <w:p w14:paraId="53A1B3CC" w14:textId="77777777" w:rsidR="00254BA2" w:rsidRDefault="00254BA2" w:rsidP="00EF3000">
      <w:pPr>
        <w:rPr>
          <w:bCs/>
        </w:rPr>
      </w:pPr>
    </w:p>
    <w:p w14:paraId="07DB1914" w14:textId="7729E037" w:rsidR="00254BA2" w:rsidRDefault="00254BA2" w:rsidP="00EF3000">
      <w:pPr>
        <w:rPr>
          <w:bCs/>
        </w:rPr>
      </w:pPr>
      <w:r>
        <w:rPr>
          <w:bCs/>
        </w:rPr>
        <w:tab/>
        <w:t xml:space="preserve">The textbook, which is </w:t>
      </w:r>
      <w:r w:rsidR="004F6E64">
        <w:rPr>
          <w:bCs/>
        </w:rPr>
        <w:t xml:space="preserve">now available as a digital version of the original 2015 book, </w:t>
      </w:r>
      <w:r w:rsidR="009B1058">
        <w:rPr>
          <w:bCs/>
        </w:rPr>
        <w:t>includes a digital supplement that updates the chapters and that provides extensive appendices, including sample industry form contracts.</w:t>
      </w:r>
      <w:r w:rsidR="00652C82">
        <w:rPr>
          <w:bCs/>
        </w:rPr>
        <w:t xml:space="preserve"> </w:t>
      </w:r>
      <w:r w:rsidR="00211269">
        <w:rPr>
          <w:bCs/>
        </w:rPr>
        <w:t xml:space="preserve">(Access the digital version </w:t>
      </w:r>
      <w:hyperlink r:id="rId4" w:history="1">
        <w:r w:rsidR="00DE548A">
          <w:rPr>
            <w:rStyle w:val="Hyperlink"/>
            <w:bCs/>
          </w:rPr>
          <w:t>here</w:t>
        </w:r>
      </w:hyperlink>
      <w:r w:rsidR="00DE548A">
        <w:rPr>
          <w:bCs/>
        </w:rPr>
        <w:t xml:space="preserve">) </w:t>
      </w:r>
      <w:r w:rsidR="00652C82">
        <w:rPr>
          <w:bCs/>
        </w:rPr>
        <w:t>The publisher also provides</w:t>
      </w:r>
      <w:r w:rsidR="00F22DB4">
        <w:rPr>
          <w:bCs/>
        </w:rPr>
        <w:t xml:space="preserve"> an instructor companion site that includes</w:t>
      </w:r>
      <w:r w:rsidR="00652C82">
        <w:rPr>
          <w:bCs/>
        </w:rPr>
        <w:t xml:space="preserve"> sample PowerPoint slides, recommended questions, and a</w:t>
      </w:r>
      <w:r w:rsidR="00ED0F43">
        <w:rPr>
          <w:bCs/>
        </w:rPr>
        <w:t>n Instructor’s Solutions Manual</w:t>
      </w:r>
      <w:r w:rsidR="00182B82">
        <w:rPr>
          <w:bCs/>
        </w:rPr>
        <w:t xml:space="preserve"> that offers a variety of teaching resources.</w:t>
      </w:r>
      <w:r w:rsidR="008B6ACA">
        <w:rPr>
          <w:bCs/>
        </w:rPr>
        <w:t xml:space="preserve"> While some instructors will choose to add supplemental materials, </w:t>
      </w:r>
      <w:r w:rsidR="005D1E15">
        <w:rPr>
          <w:bCs/>
        </w:rPr>
        <w:t>the textbook</w:t>
      </w:r>
      <w:r w:rsidR="000B157E">
        <w:rPr>
          <w:bCs/>
        </w:rPr>
        <w:t xml:space="preserve"> and the instructor companion site</w:t>
      </w:r>
      <w:r w:rsidR="005D1E15">
        <w:rPr>
          <w:bCs/>
        </w:rPr>
        <w:t xml:space="preserve"> </w:t>
      </w:r>
      <w:r w:rsidR="00E24436">
        <w:rPr>
          <w:bCs/>
        </w:rPr>
        <w:t xml:space="preserve">offer a compact and digestible </w:t>
      </w:r>
      <w:r w:rsidR="00284E8D">
        <w:rPr>
          <w:bCs/>
        </w:rPr>
        <w:t>basis f</w:t>
      </w:r>
      <w:r w:rsidR="003C2C75">
        <w:rPr>
          <w:bCs/>
        </w:rPr>
        <w:t>or introducing construction law to industry professionals who have no legal background.</w:t>
      </w:r>
    </w:p>
    <w:p w14:paraId="6CF67C0D" w14:textId="77777777" w:rsidR="006E1698" w:rsidRDefault="006E1698" w:rsidP="00EF3000">
      <w:pPr>
        <w:rPr>
          <w:bCs/>
        </w:rPr>
      </w:pPr>
    </w:p>
    <w:p w14:paraId="1B6F2F91" w14:textId="6CCC2107" w:rsidR="00520953" w:rsidRDefault="00520953" w:rsidP="00EF3000">
      <w:pPr>
        <w:rPr>
          <w:bCs/>
        </w:rPr>
      </w:pPr>
      <w:r>
        <w:rPr>
          <w:bCs/>
        </w:rPr>
        <w:tab/>
      </w:r>
      <w:r w:rsidR="001051B2">
        <w:rPr>
          <w:bCs/>
        </w:rPr>
        <w:t>The syllabus may</w:t>
      </w:r>
      <w:r w:rsidR="00455A4D">
        <w:rPr>
          <w:bCs/>
        </w:rPr>
        <w:t xml:space="preserve"> easily</w:t>
      </w:r>
      <w:r w:rsidR="001051B2">
        <w:rPr>
          <w:bCs/>
        </w:rPr>
        <w:t xml:space="preserve"> be adapted</w:t>
      </w:r>
      <w:r w:rsidR="00E515A4">
        <w:rPr>
          <w:bCs/>
        </w:rPr>
        <w:t xml:space="preserve"> to a particular program. For example, </w:t>
      </w:r>
      <w:r w:rsidR="003412F2">
        <w:rPr>
          <w:bCs/>
        </w:rPr>
        <w:t xml:space="preserve">for a course in a </w:t>
      </w:r>
      <w:r w:rsidR="00F058D6">
        <w:rPr>
          <w:bCs/>
        </w:rPr>
        <w:t>graduate-level c</w:t>
      </w:r>
      <w:r w:rsidR="003412F2">
        <w:rPr>
          <w:bCs/>
        </w:rPr>
        <w:t xml:space="preserve">onstruction </w:t>
      </w:r>
      <w:r w:rsidR="00F058D6">
        <w:rPr>
          <w:bCs/>
        </w:rPr>
        <w:t>m</w:t>
      </w:r>
      <w:r w:rsidR="003412F2">
        <w:rPr>
          <w:bCs/>
        </w:rPr>
        <w:t>anagement program taught over a more compressed eight-week term</w:t>
      </w:r>
      <w:r w:rsidR="00BE45B8">
        <w:rPr>
          <w:bCs/>
        </w:rPr>
        <w:t xml:space="preserve">, I omit some reading assignments </w:t>
      </w:r>
      <w:r w:rsidR="008B06AE">
        <w:rPr>
          <w:bCs/>
        </w:rPr>
        <w:t>primarily concerned with the design professions</w:t>
      </w:r>
      <w:r w:rsidR="001339F1">
        <w:rPr>
          <w:bCs/>
        </w:rPr>
        <w:t xml:space="preserve">, </w:t>
      </w:r>
      <w:r w:rsidR="0017014C">
        <w:rPr>
          <w:bCs/>
        </w:rPr>
        <w:t>licensing</w:t>
      </w:r>
      <w:r w:rsidR="001339F1">
        <w:rPr>
          <w:bCs/>
        </w:rPr>
        <w:t>, and</w:t>
      </w:r>
      <w:r w:rsidR="00F83333">
        <w:rPr>
          <w:bCs/>
        </w:rPr>
        <w:t xml:space="preserve"> </w:t>
      </w:r>
      <w:r w:rsidR="00AD1BC9">
        <w:rPr>
          <w:bCs/>
        </w:rPr>
        <w:t xml:space="preserve">the </w:t>
      </w:r>
      <w:r w:rsidR="00F83333">
        <w:rPr>
          <w:bCs/>
        </w:rPr>
        <w:t>regulation of land use</w:t>
      </w:r>
      <w:r w:rsidR="00D37BE1">
        <w:rPr>
          <w:bCs/>
        </w:rPr>
        <w:t>, but I supplement the reading assignments with some</w:t>
      </w:r>
      <w:r w:rsidR="006B39A4">
        <w:rPr>
          <w:bCs/>
        </w:rPr>
        <w:t xml:space="preserve"> common contract provisions concerning such matters as contract administration</w:t>
      </w:r>
      <w:r w:rsidR="006601C7">
        <w:rPr>
          <w:bCs/>
        </w:rPr>
        <w:t>, changes, and claims</w:t>
      </w:r>
      <w:r w:rsidR="00C25826">
        <w:rPr>
          <w:bCs/>
        </w:rPr>
        <w:t xml:space="preserve">, </w:t>
      </w:r>
      <w:r w:rsidR="009F78C9">
        <w:rPr>
          <w:bCs/>
        </w:rPr>
        <w:t>and I also provide</w:t>
      </w:r>
      <w:r w:rsidR="00C25826">
        <w:rPr>
          <w:bCs/>
        </w:rPr>
        <w:t xml:space="preserve"> </w:t>
      </w:r>
      <w:r w:rsidR="00342C6A">
        <w:rPr>
          <w:bCs/>
        </w:rPr>
        <w:t>materials on recent developments</w:t>
      </w:r>
      <w:r w:rsidR="006601C7">
        <w:rPr>
          <w:bCs/>
        </w:rPr>
        <w:t>.</w:t>
      </w:r>
    </w:p>
    <w:p w14:paraId="3C1BAA70" w14:textId="0C66602F" w:rsidR="00501054" w:rsidRDefault="00501054" w:rsidP="00EF3000">
      <w:pPr>
        <w:rPr>
          <w:bCs/>
        </w:rPr>
      </w:pPr>
      <w:r>
        <w:rPr>
          <w:bCs/>
        </w:rPr>
        <w:tab/>
      </w:r>
    </w:p>
    <w:p w14:paraId="52362836" w14:textId="75906B2E" w:rsidR="00501054" w:rsidRDefault="00501054" w:rsidP="00EF3000">
      <w:r>
        <w:rPr>
          <w:bCs/>
        </w:rPr>
        <w:tab/>
        <w:t xml:space="preserve">The syllabus specifies that quizzes and short essay assignments account for 50% of the course grade, with a midterm </w:t>
      </w:r>
      <w:r w:rsidR="003F3F7F">
        <w:rPr>
          <w:bCs/>
        </w:rPr>
        <w:t>exam</w:t>
      </w:r>
      <w:r>
        <w:rPr>
          <w:bCs/>
        </w:rPr>
        <w:t xml:space="preserve"> accounting for</w:t>
      </w:r>
      <w:r w:rsidR="002F6D65">
        <w:rPr>
          <w:bCs/>
        </w:rPr>
        <w:t xml:space="preserve"> 20%, and a final project accounting for the remaining 30%.</w:t>
      </w:r>
      <w:r w:rsidR="00703495">
        <w:rPr>
          <w:bCs/>
        </w:rPr>
        <w:t xml:space="preserve"> </w:t>
      </w:r>
      <w:r w:rsidR="00DB0576">
        <w:rPr>
          <w:bCs/>
        </w:rPr>
        <w:t>The quizzes and short essay questions I use, including a series of short essay questions</w:t>
      </w:r>
      <w:r w:rsidR="003F3F7F">
        <w:rPr>
          <w:bCs/>
        </w:rPr>
        <w:t xml:space="preserve"> for the midterm </w:t>
      </w:r>
      <w:r w:rsidR="006306CD">
        <w:rPr>
          <w:bCs/>
        </w:rPr>
        <w:t>exam</w:t>
      </w:r>
      <w:r w:rsidR="003F3F7F">
        <w:rPr>
          <w:bCs/>
        </w:rPr>
        <w:t>,</w:t>
      </w:r>
      <w:r w:rsidR="006306CD">
        <w:rPr>
          <w:bCs/>
        </w:rPr>
        <w:t xml:space="preserve"> essentially assess how well the students have understood the reading assignments and related lectures. I use a final project to assess how well the students can apply what they have learned </w:t>
      </w:r>
      <w:r w:rsidR="00A661A0">
        <w:rPr>
          <w:bCs/>
        </w:rPr>
        <w:t>to</w:t>
      </w:r>
      <w:r w:rsidR="006306CD">
        <w:rPr>
          <w:bCs/>
        </w:rPr>
        <w:t xml:space="preserve"> problem-solving </w:t>
      </w:r>
      <w:r w:rsidR="00714D01">
        <w:rPr>
          <w:bCs/>
        </w:rPr>
        <w:t>assignments</w:t>
      </w:r>
      <w:r w:rsidR="00560634">
        <w:rPr>
          <w:bCs/>
        </w:rPr>
        <w:t xml:space="preserve">, such as explaining </w:t>
      </w:r>
      <w:r w:rsidR="005F589D">
        <w:rPr>
          <w:bCs/>
        </w:rPr>
        <w:t>the advantages and disadvantages of</w:t>
      </w:r>
      <w:r w:rsidR="00560634">
        <w:rPr>
          <w:bCs/>
        </w:rPr>
        <w:t xml:space="preserve"> alternative contract terms for a </w:t>
      </w:r>
      <w:r w:rsidR="00714D01">
        <w:rPr>
          <w:bCs/>
        </w:rPr>
        <w:t xml:space="preserve">specific </w:t>
      </w:r>
      <w:r w:rsidR="00BA07A2">
        <w:rPr>
          <w:bCs/>
        </w:rPr>
        <w:t>project</w:t>
      </w:r>
      <w:r w:rsidR="00714D01">
        <w:rPr>
          <w:bCs/>
        </w:rPr>
        <w:t xml:space="preserve"> scenario</w:t>
      </w:r>
      <w:r w:rsidR="005F589D">
        <w:rPr>
          <w:bCs/>
        </w:rPr>
        <w:t xml:space="preserve"> from the perspective of different industry participants and</w:t>
      </w:r>
      <w:r w:rsidR="00BA07A2">
        <w:rPr>
          <w:bCs/>
        </w:rPr>
        <w:t xml:space="preserve"> recommending a course of action in response to a </w:t>
      </w:r>
      <w:r w:rsidR="009107C4">
        <w:rPr>
          <w:bCs/>
        </w:rPr>
        <w:t xml:space="preserve">hypothetical </w:t>
      </w:r>
      <w:r w:rsidR="00BA07A2">
        <w:rPr>
          <w:bCs/>
        </w:rPr>
        <w:t>dispute.</w:t>
      </w:r>
    </w:p>
    <w:sectPr w:rsidR="00501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00"/>
    <w:rsid w:val="00015958"/>
    <w:rsid w:val="000B157E"/>
    <w:rsid w:val="000D3AF8"/>
    <w:rsid w:val="001051B2"/>
    <w:rsid w:val="001339F1"/>
    <w:rsid w:val="0017014C"/>
    <w:rsid w:val="00182B82"/>
    <w:rsid w:val="0019245B"/>
    <w:rsid w:val="001A51E1"/>
    <w:rsid w:val="00211269"/>
    <w:rsid w:val="00237B31"/>
    <w:rsid w:val="00254BA2"/>
    <w:rsid w:val="00284E8D"/>
    <w:rsid w:val="002F6D65"/>
    <w:rsid w:val="003412F2"/>
    <w:rsid w:val="00342C6A"/>
    <w:rsid w:val="00392EDA"/>
    <w:rsid w:val="003975C5"/>
    <w:rsid w:val="003A039A"/>
    <w:rsid w:val="003C2C75"/>
    <w:rsid w:val="003F3F7F"/>
    <w:rsid w:val="00444CB9"/>
    <w:rsid w:val="00455A4D"/>
    <w:rsid w:val="00496EF3"/>
    <w:rsid w:val="004E46FB"/>
    <w:rsid w:val="004F6E64"/>
    <w:rsid w:val="00501054"/>
    <w:rsid w:val="00520953"/>
    <w:rsid w:val="00546966"/>
    <w:rsid w:val="00560634"/>
    <w:rsid w:val="005D1E15"/>
    <w:rsid w:val="005F589D"/>
    <w:rsid w:val="006306CD"/>
    <w:rsid w:val="0063344C"/>
    <w:rsid w:val="00652C82"/>
    <w:rsid w:val="006601C7"/>
    <w:rsid w:val="00676AF6"/>
    <w:rsid w:val="006B39A4"/>
    <w:rsid w:val="006D35E4"/>
    <w:rsid w:val="006E1698"/>
    <w:rsid w:val="00703495"/>
    <w:rsid w:val="00714D01"/>
    <w:rsid w:val="007D069A"/>
    <w:rsid w:val="008513AC"/>
    <w:rsid w:val="008B06AE"/>
    <w:rsid w:val="008B6ACA"/>
    <w:rsid w:val="008B7D88"/>
    <w:rsid w:val="008F6FF7"/>
    <w:rsid w:val="009016A5"/>
    <w:rsid w:val="009107C4"/>
    <w:rsid w:val="009B1058"/>
    <w:rsid w:val="009B7970"/>
    <w:rsid w:val="009E0D41"/>
    <w:rsid w:val="009F78C9"/>
    <w:rsid w:val="00A661A0"/>
    <w:rsid w:val="00A7395B"/>
    <w:rsid w:val="00AD1BC9"/>
    <w:rsid w:val="00B07772"/>
    <w:rsid w:val="00BA07A2"/>
    <w:rsid w:val="00BE45B8"/>
    <w:rsid w:val="00C25826"/>
    <w:rsid w:val="00C40A96"/>
    <w:rsid w:val="00C70D99"/>
    <w:rsid w:val="00CB49B5"/>
    <w:rsid w:val="00D37BE1"/>
    <w:rsid w:val="00DB0576"/>
    <w:rsid w:val="00DD680B"/>
    <w:rsid w:val="00DE548A"/>
    <w:rsid w:val="00DE7C68"/>
    <w:rsid w:val="00E24436"/>
    <w:rsid w:val="00E515A4"/>
    <w:rsid w:val="00ED0F43"/>
    <w:rsid w:val="00EF3000"/>
    <w:rsid w:val="00F058D6"/>
    <w:rsid w:val="00F22DB4"/>
    <w:rsid w:val="00F83333"/>
    <w:rsid w:val="00FA46B3"/>
    <w:rsid w:val="00FE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2A53"/>
  <w15:chartTrackingRefBased/>
  <w15:docId w15:val="{E51618B5-5D5A-4797-99D8-F85D6B77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0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F30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30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300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300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F300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F300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F300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F300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F300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000"/>
    <w:rPr>
      <w:rFonts w:eastAsiaTheme="majorEastAsia" w:cstheme="majorBidi"/>
      <w:color w:val="272727" w:themeColor="text1" w:themeTint="D8"/>
    </w:rPr>
  </w:style>
  <w:style w:type="paragraph" w:styleId="Title">
    <w:name w:val="Title"/>
    <w:basedOn w:val="Normal"/>
    <w:next w:val="Normal"/>
    <w:link w:val="TitleChar"/>
    <w:uiPriority w:val="10"/>
    <w:qFormat/>
    <w:rsid w:val="00EF300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3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0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3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00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F3000"/>
    <w:rPr>
      <w:i/>
      <w:iCs/>
      <w:color w:val="404040" w:themeColor="text1" w:themeTint="BF"/>
    </w:rPr>
  </w:style>
  <w:style w:type="paragraph" w:styleId="ListParagraph">
    <w:name w:val="List Paragraph"/>
    <w:basedOn w:val="Normal"/>
    <w:uiPriority w:val="34"/>
    <w:qFormat/>
    <w:rsid w:val="00EF300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F3000"/>
    <w:rPr>
      <w:i/>
      <w:iCs/>
      <w:color w:val="0F4761" w:themeColor="accent1" w:themeShade="BF"/>
    </w:rPr>
  </w:style>
  <w:style w:type="paragraph" w:styleId="IntenseQuote">
    <w:name w:val="Intense Quote"/>
    <w:basedOn w:val="Normal"/>
    <w:next w:val="Normal"/>
    <w:link w:val="IntenseQuoteChar"/>
    <w:uiPriority w:val="30"/>
    <w:qFormat/>
    <w:rsid w:val="00EF300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F3000"/>
    <w:rPr>
      <w:i/>
      <w:iCs/>
      <w:color w:val="0F4761" w:themeColor="accent1" w:themeShade="BF"/>
    </w:rPr>
  </w:style>
  <w:style w:type="character" w:styleId="IntenseReference">
    <w:name w:val="Intense Reference"/>
    <w:basedOn w:val="DefaultParagraphFont"/>
    <w:uiPriority w:val="32"/>
    <w:qFormat/>
    <w:rsid w:val="00EF3000"/>
    <w:rPr>
      <w:b/>
      <w:bCs/>
      <w:smallCaps/>
      <w:color w:val="0F4761" w:themeColor="accent1" w:themeShade="BF"/>
      <w:spacing w:val="5"/>
    </w:rPr>
  </w:style>
  <w:style w:type="paragraph" w:customStyle="1" w:styleId="SMHTitleBoldCentered">
    <w:name w:val="SMH Title Bold Centered"/>
    <w:aliases w:val="tbc"/>
    <w:basedOn w:val="Normal"/>
    <w:next w:val="Normal"/>
    <w:rsid w:val="00EF3000"/>
    <w:pPr>
      <w:spacing w:after="240"/>
      <w:jc w:val="center"/>
    </w:pPr>
    <w:rPr>
      <w:b/>
      <w:szCs w:val="20"/>
    </w:rPr>
  </w:style>
  <w:style w:type="character" w:styleId="Hyperlink">
    <w:name w:val="Hyperlink"/>
    <w:basedOn w:val="DefaultParagraphFont"/>
    <w:uiPriority w:val="99"/>
    <w:unhideWhenUsed/>
    <w:rsid w:val="00DE548A"/>
    <w:rPr>
      <w:color w:val="467886" w:themeColor="hyperlink"/>
      <w:u w:val="single"/>
    </w:rPr>
  </w:style>
  <w:style w:type="character" w:styleId="UnresolvedMention">
    <w:name w:val="Unresolved Mention"/>
    <w:basedOn w:val="DefaultParagraphFont"/>
    <w:uiPriority w:val="99"/>
    <w:semiHidden/>
    <w:unhideWhenUsed/>
    <w:rsid w:val="00DE548A"/>
    <w:rPr>
      <w:color w:val="605E5C"/>
      <w:shd w:val="clear" w:color="auto" w:fill="E1DFDD"/>
    </w:rPr>
  </w:style>
  <w:style w:type="character" w:styleId="FollowedHyperlink">
    <w:name w:val="FollowedHyperlink"/>
    <w:basedOn w:val="DefaultParagraphFont"/>
    <w:uiPriority w:val="99"/>
    <w:semiHidden/>
    <w:unhideWhenUsed/>
    <w:rsid w:val="001924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talsource.com/products/construction-law-for-design-professionals-justin-sweet-marc-m-v9798214340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dcterms:created xsi:type="dcterms:W3CDTF">2024-06-11T19:56:00Z</dcterms:created>
  <dcterms:modified xsi:type="dcterms:W3CDTF">2024-06-11T19:56:00Z</dcterms:modified>
</cp:coreProperties>
</file>