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3E89" w14:textId="7072FDBF" w:rsidR="0093271E" w:rsidRDefault="00EA41A2">
      <w:pPr>
        <w:rPr>
          <w:b/>
          <w:bCs/>
        </w:rPr>
      </w:pPr>
      <w:r>
        <w:rPr>
          <w:b/>
          <w:bCs/>
        </w:rPr>
        <w:t>Overview of delay claim case study</w:t>
      </w:r>
    </w:p>
    <w:p w14:paraId="18302324" w14:textId="1DC8C925" w:rsidR="00AB1525" w:rsidRDefault="00AB1525">
      <w:pPr>
        <w:rPr>
          <w:rFonts w:eastAsia="Times New Roman"/>
        </w:rPr>
      </w:pPr>
      <w:r>
        <w:rPr>
          <w:b/>
          <w:bCs/>
        </w:rPr>
        <w:tab/>
      </w:r>
      <w:r>
        <w:t>This case study</w:t>
      </w:r>
      <w:r w:rsidR="00C3625B">
        <w:t xml:space="preserve"> uses materials from</w:t>
      </w:r>
      <w:r w:rsidR="004A7677">
        <w:t xml:space="preserve"> </w:t>
      </w:r>
      <w:r w:rsidR="004A7677" w:rsidRPr="003213CC">
        <w:rPr>
          <w:u w:val="single"/>
        </w:rPr>
        <w:t xml:space="preserve">Weitz Co. v. </w:t>
      </w:r>
      <w:proofErr w:type="spellStart"/>
      <w:r w:rsidR="004A7677" w:rsidRPr="003213CC">
        <w:rPr>
          <w:u w:val="single"/>
        </w:rPr>
        <w:t>MacKenzie</w:t>
      </w:r>
      <w:proofErr w:type="spellEnd"/>
      <w:r w:rsidR="004A7677" w:rsidRPr="003213CC">
        <w:rPr>
          <w:u w:val="single"/>
        </w:rPr>
        <w:t xml:space="preserve"> House, L.L.C</w:t>
      </w:r>
      <w:r w:rsidR="004A7677" w:rsidRPr="004A7677">
        <w:t>., No. 07-0103-CV-W-ODS, 2010 WL 2292271</w:t>
      </w:r>
      <w:r w:rsidR="00AC026C">
        <w:t xml:space="preserve">, which was tried in the U.S. District Court for the Western District of Missouri in </w:t>
      </w:r>
      <w:r w:rsidR="00524006">
        <w:t xml:space="preserve">2010. </w:t>
      </w:r>
      <w:r w:rsidR="00FD6773">
        <w:t xml:space="preserve">The case </w:t>
      </w:r>
      <w:r w:rsidR="000D62E3">
        <w:t xml:space="preserve">offers multiple opportunities for </w:t>
      </w:r>
      <w:r w:rsidR="00270602">
        <w:t>simulation exercises</w:t>
      </w:r>
      <w:r w:rsidR="0003318A">
        <w:t>,</w:t>
      </w:r>
      <w:r w:rsidR="00270602">
        <w:t xml:space="preserve"> </w:t>
      </w:r>
      <w:r w:rsidR="00CB562D">
        <w:t>not only because</w:t>
      </w:r>
      <w:r w:rsidR="0055746C">
        <w:t xml:space="preserve"> of the</w:t>
      </w:r>
      <w:r w:rsidR="00CB562D">
        <w:t xml:space="preserve"> factual and legal issues</w:t>
      </w:r>
      <w:r w:rsidR="0003318A">
        <w:t xml:space="preserve"> involved</w:t>
      </w:r>
      <w:r w:rsidR="000D62E3">
        <w:t xml:space="preserve">, but </w:t>
      </w:r>
      <w:r w:rsidR="0003318A">
        <w:t>more importantly</w:t>
      </w:r>
      <w:r w:rsidR="00CB562D">
        <w:t xml:space="preserve"> </w:t>
      </w:r>
      <w:r w:rsidR="00524006">
        <w:t>because</w:t>
      </w:r>
      <w:r w:rsidR="0043554E">
        <w:t xml:space="preserve"> </w:t>
      </w:r>
      <w:r w:rsidR="0080733B">
        <w:t xml:space="preserve">students can </w:t>
      </w:r>
      <w:r w:rsidR="0055746C">
        <w:t>access</w:t>
      </w:r>
      <w:r w:rsidR="0080733B">
        <w:t xml:space="preserve"> </w:t>
      </w:r>
      <w:r w:rsidR="0043554E">
        <w:t>an</w:t>
      </w:r>
      <w:r w:rsidR="00524006">
        <w:t xml:space="preserve"> extensive </w:t>
      </w:r>
      <w:r w:rsidR="0080733B">
        <w:t>body</w:t>
      </w:r>
      <w:r w:rsidR="0043554E">
        <w:t xml:space="preserve"> of filings </w:t>
      </w:r>
      <w:r w:rsidR="0080733B">
        <w:t>from</w:t>
      </w:r>
      <w:r w:rsidR="0043554E">
        <w:t xml:space="preserve"> the case</w:t>
      </w:r>
      <w:r w:rsidR="0080733B">
        <w:t xml:space="preserve"> on Westlaw. </w:t>
      </w:r>
      <w:r w:rsidR="003213CC">
        <w:t xml:space="preserve">Over 100 documents from the trial, including motions, an expert’s report, and transcripts are available at </w:t>
      </w:r>
      <w:r w:rsidR="003213CC" w:rsidRPr="004D4812">
        <w:rPr>
          <w:rFonts w:eastAsia="Times New Roman"/>
          <w:u w:val="single"/>
          <w:bdr w:val="none" w:sz="0" w:space="0" w:color="auto" w:frame="1"/>
        </w:rPr>
        <w:t xml:space="preserve">Weitz Co. v. </w:t>
      </w:r>
      <w:proofErr w:type="spellStart"/>
      <w:r w:rsidR="003213CC" w:rsidRPr="004D4812">
        <w:rPr>
          <w:rFonts w:eastAsia="Times New Roman"/>
          <w:u w:val="single"/>
          <w:bdr w:val="none" w:sz="0" w:space="0" w:color="auto" w:frame="1"/>
        </w:rPr>
        <w:t>MacKenzie</w:t>
      </w:r>
      <w:proofErr w:type="spellEnd"/>
      <w:r w:rsidR="003213CC" w:rsidRPr="004D4812">
        <w:rPr>
          <w:rFonts w:eastAsia="Times New Roman"/>
          <w:u w:val="single"/>
          <w:bdr w:val="none" w:sz="0" w:space="0" w:color="auto" w:frame="1"/>
        </w:rPr>
        <w:t xml:space="preserve"> House, L.L.C.</w:t>
      </w:r>
      <w:r w:rsidR="003213CC" w:rsidRPr="004D4812">
        <w:rPr>
          <w:rFonts w:eastAsia="Times New Roman"/>
        </w:rPr>
        <w:t xml:space="preserve">, No. 07-0103-CV-W-ODS, 2010 WL 2292271 (W.D. Mo. June 3, 2010). Also, the </w:t>
      </w:r>
      <w:r w:rsidR="002B284C">
        <w:rPr>
          <w:rFonts w:eastAsia="Times New Roman"/>
        </w:rPr>
        <w:t>“H</w:t>
      </w:r>
      <w:r w:rsidR="003213CC" w:rsidRPr="004D4812">
        <w:rPr>
          <w:rFonts w:eastAsia="Times New Roman"/>
        </w:rPr>
        <w:t>istory</w:t>
      </w:r>
      <w:r w:rsidR="002B284C">
        <w:rPr>
          <w:rFonts w:eastAsia="Times New Roman"/>
        </w:rPr>
        <w:t>”</w:t>
      </w:r>
      <w:r w:rsidR="00394C99">
        <w:rPr>
          <w:rFonts w:eastAsia="Times New Roman"/>
        </w:rPr>
        <w:t xml:space="preserve"> link</w:t>
      </w:r>
      <w:r w:rsidR="003213CC" w:rsidRPr="004D4812">
        <w:rPr>
          <w:rFonts w:eastAsia="Times New Roman"/>
        </w:rPr>
        <w:t xml:space="preserve"> </w:t>
      </w:r>
      <w:r w:rsidR="00FE650E">
        <w:rPr>
          <w:rFonts w:eastAsia="Times New Roman"/>
        </w:rPr>
        <w:t>on</w:t>
      </w:r>
      <w:r w:rsidR="003213CC" w:rsidRPr="004D4812">
        <w:rPr>
          <w:rFonts w:eastAsia="Times New Roman"/>
        </w:rPr>
        <w:t xml:space="preserve"> Westlaw cites </w:t>
      </w:r>
      <w:r w:rsidR="00FE650E">
        <w:rPr>
          <w:rFonts w:eastAsia="Times New Roman"/>
        </w:rPr>
        <w:t xml:space="preserve">other </w:t>
      </w:r>
      <w:r w:rsidR="00F45E4E">
        <w:rPr>
          <w:rFonts w:eastAsia="Times New Roman"/>
        </w:rPr>
        <w:t xml:space="preserve">orders and opinions in the case </w:t>
      </w:r>
      <w:r w:rsidR="003213CC" w:rsidRPr="004D4812">
        <w:rPr>
          <w:rFonts w:eastAsia="Times New Roman"/>
        </w:rPr>
        <w:t xml:space="preserve">that include </w:t>
      </w:r>
      <w:r w:rsidR="00F45E4E">
        <w:rPr>
          <w:rFonts w:eastAsia="Times New Roman"/>
        </w:rPr>
        <w:t xml:space="preserve">additional </w:t>
      </w:r>
      <w:r w:rsidR="003213CC" w:rsidRPr="004D4812">
        <w:rPr>
          <w:rFonts w:eastAsia="Times New Roman"/>
        </w:rPr>
        <w:t>filings.</w:t>
      </w:r>
    </w:p>
    <w:p w14:paraId="720C3BEF" w14:textId="395CA1CB" w:rsidR="00073296" w:rsidRPr="00AB1525" w:rsidRDefault="00073296">
      <w:r>
        <w:tab/>
        <w:t>Th</w:t>
      </w:r>
      <w:r w:rsidR="00E37404">
        <w:t>e</w:t>
      </w:r>
      <w:r>
        <w:t xml:space="preserve"> information provided here draws selectively on pleadings and other filings</w:t>
      </w:r>
      <w:r w:rsidR="0023210A">
        <w:t xml:space="preserve"> and incorporates</w:t>
      </w:r>
      <w:r>
        <w:t xml:space="preserve"> various allegations that were in dispute</w:t>
      </w:r>
      <w:r w:rsidR="00E37404">
        <w:t xml:space="preserve">. This entire overview </w:t>
      </w:r>
      <w:r>
        <w:t>is offered solely for academic purposes.</w:t>
      </w:r>
    </w:p>
    <w:p w14:paraId="7A88527E" w14:textId="50FF2DCA" w:rsidR="000F7B34" w:rsidRDefault="004D4812" w:rsidP="001F78DB">
      <w:pPr>
        <w:ind w:firstLine="720"/>
      </w:pPr>
      <w:r>
        <w:rPr>
          <w:b/>
          <w:bCs/>
        </w:rPr>
        <w:t>Background</w:t>
      </w:r>
      <w:r w:rsidR="001F78DB">
        <w:rPr>
          <w:b/>
          <w:bCs/>
        </w:rPr>
        <w:t xml:space="preserve"> and players</w:t>
      </w:r>
      <w:r>
        <w:rPr>
          <w:b/>
          <w:bCs/>
        </w:rPr>
        <w:t xml:space="preserve">. </w:t>
      </w:r>
    </w:p>
    <w:p w14:paraId="7C8B6F0D" w14:textId="0A2FC007" w:rsidR="00BD1358" w:rsidRDefault="0034646B" w:rsidP="001F78DB">
      <w:pPr>
        <w:ind w:firstLine="720"/>
      </w:pPr>
      <w:r>
        <w:t>Planning for t</w:t>
      </w:r>
      <w:r w:rsidR="00261FC6">
        <w:t>he 3-building</w:t>
      </w:r>
      <w:r w:rsidR="00BA0DEC">
        <w:t>, 132</w:t>
      </w:r>
      <w:r w:rsidR="00F2351E">
        <w:t>-</w:t>
      </w:r>
      <w:r w:rsidR="00BA0DEC">
        <w:t>unit,</w:t>
      </w:r>
      <w:r w:rsidR="00261FC6">
        <w:t xml:space="preserve"> apartment complex in the heart of Kansas City was in full swing </w:t>
      </w:r>
      <w:r w:rsidR="00F2351E">
        <w:t>in</w:t>
      </w:r>
      <w:r w:rsidR="00261FC6">
        <w:t xml:space="preserve"> spring 2005, but negotiation of the owner-contractor agreement took several weeks. </w:t>
      </w:r>
      <w:r w:rsidR="00F251F4">
        <w:t>T</w:t>
      </w:r>
      <w:r w:rsidR="00261FC6">
        <w:t>he project owner</w:t>
      </w:r>
      <w:r w:rsidR="00EB7D47">
        <w:t xml:space="preserve"> was </w:t>
      </w:r>
      <w:proofErr w:type="spellStart"/>
      <w:r w:rsidR="00EB7D47">
        <w:t>MacKenzie</w:t>
      </w:r>
      <w:proofErr w:type="spellEnd"/>
      <w:r w:rsidR="00EB7D47">
        <w:t>,</w:t>
      </w:r>
      <w:r w:rsidR="00261FC6">
        <w:t xml:space="preserve"> a Denver-based developer</w:t>
      </w:r>
      <w:r w:rsidR="00F2351E">
        <w:t>.</w:t>
      </w:r>
      <w:r w:rsidR="001C34B8">
        <w:t xml:space="preserve"> </w:t>
      </w:r>
      <w:r w:rsidR="00EB7D47">
        <w:t xml:space="preserve">The contractor was </w:t>
      </w:r>
      <w:r w:rsidR="001C34B8">
        <w:t>Weitz</w:t>
      </w:r>
      <w:r w:rsidR="00EB7D47">
        <w:t>,</w:t>
      </w:r>
      <w:r w:rsidR="001C34B8">
        <w:t xml:space="preserve"> an Iowa-based </w:t>
      </w:r>
      <w:r w:rsidR="002F43EA">
        <w:t>firm</w:t>
      </w:r>
      <w:r w:rsidR="00261FC6">
        <w:t xml:space="preserve">. </w:t>
      </w:r>
      <w:proofErr w:type="spellStart"/>
      <w:r w:rsidR="00261FC6">
        <w:t>MacKenzie</w:t>
      </w:r>
      <w:proofErr w:type="spellEnd"/>
      <w:r w:rsidR="00261FC6">
        <w:t xml:space="preserve"> had existing relationships with several construction industry firms</w:t>
      </w:r>
      <w:r w:rsidR="001C34B8">
        <w:t>, including</w:t>
      </w:r>
      <w:r w:rsidR="00B740A8">
        <w:t xml:space="preserve"> third-party defendants Arrowhead and Concorde, </w:t>
      </w:r>
      <w:r w:rsidR="00030970">
        <w:t xml:space="preserve">subcontractors </w:t>
      </w:r>
      <w:r w:rsidR="00B740A8">
        <w:t>whom Weitz blame</w:t>
      </w:r>
      <w:r w:rsidR="00B368EB">
        <w:t>d</w:t>
      </w:r>
      <w:r w:rsidR="00B740A8">
        <w:t xml:space="preserve"> for much of the delay.</w:t>
      </w:r>
      <w:r w:rsidR="00030970">
        <w:t xml:space="preserve"> </w:t>
      </w:r>
      <w:r w:rsidR="00261FC6">
        <w:t xml:space="preserve">The </w:t>
      </w:r>
      <w:r w:rsidR="00CD2B4D">
        <w:t>o</w:t>
      </w:r>
      <w:r w:rsidR="004D4812">
        <w:t>wner-contractor</w:t>
      </w:r>
      <w:r w:rsidR="00261FC6">
        <w:t xml:space="preserve"> </w:t>
      </w:r>
      <w:r w:rsidR="004D4812">
        <w:t>agreement</w:t>
      </w:r>
      <w:r w:rsidR="00261FC6">
        <w:t xml:space="preserve"> was finalized in late May 2005, </w:t>
      </w:r>
      <w:r w:rsidR="00F80D4A">
        <w:t>although</w:t>
      </w:r>
      <w:r w:rsidR="00261FC6">
        <w:t xml:space="preserve"> before that time, in April, </w:t>
      </w:r>
      <w:r w:rsidR="00B740A8">
        <w:t xml:space="preserve">Arrowhead </w:t>
      </w:r>
      <w:r w:rsidR="00261FC6">
        <w:t>started some</w:t>
      </w:r>
      <w:r w:rsidR="0003663C">
        <w:t xml:space="preserve"> site</w:t>
      </w:r>
      <w:r w:rsidR="00261FC6">
        <w:t xml:space="preserve"> work.</w:t>
      </w:r>
    </w:p>
    <w:p w14:paraId="29D39442" w14:textId="0B8CFB24" w:rsidR="00EA41A2" w:rsidRDefault="00F2351E" w:rsidP="001F78DB">
      <w:pPr>
        <w:ind w:firstLine="720"/>
      </w:pPr>
      <w:r>
        <w:t xml:space="preserve">The contract’s guaranteed maximum price, as adjusted, was approximately $14,300,000. </w:t>
      </w:r>
      <w:r w:rsidR="001C34B8">
        <w:t>The</w:t>
      </w:r>
      <w:r w:rsidR="0084569A">
        <w:t xml:space="preserve"> owner-contractor agreement between</w:t>
      </w:r>
      <w:r w:rsidR="001C34B8">
        <w:t xml:space="preserve"> </w:t>
      </w:r>
      <w:proofErr w:type="spellStart"/>
      <w:r w:rsidR="001C34B8">
        <w:t>MacKenzie</w:t>
      </w:r>
      <w:proofErr w:type="spellEnd"/>
      <w:r w:rsidR="002625A8">
        <w:t xml:space="preserve"> and </w:t>
      </w:r>
      <w:r w:rsidR="001C34B8">
        <w:t xml:space="preserve">Weitz was signed based on a presumed completion time of 458 days, initially calculated as calling for completion of the entire project </w:t>
      </w:r>
      <w:r w:rsidR="0003663C">
        <w:t>by</w:t>
      </w:r>
      <w:r w:rsidR="001C34B8">
        <w:t xml:space="preserve"> August 2006, </w:t>
      </w:r>
      <w:r>
        <w:t>with</w:t>
      </w:r>
      <w:r w:rsidR="001C34B8">
        <w:t xml:space="preserve"> one of the 3 buildings to be completed before then. </w:t>
      </w:r>
      <w:r w:rsidR="001F78DB">
        <w:t xml:space="preserve">In late December 2005 (only several months into the project) Weitz terminated Arrowhead. In late December 2006 (months after the original completion deadlines), substantial completion was still far off. Weitz stopped work on the project by the end of December 2006, and </w:t>
      </w:r>
      <w:proofErr w:type="spellStart"/>
      <w:r w:rsidR="001F78DB">
        <w:t>MacKenzie</w:t>
      </w:r>
      <w:proofErr w:type="spellEnd"/>
      <w:r w:rsidR="001F78DB">
        <w:t xml:space="preserve"> terminated Weitz in January 2007. </w:t>
      </w:r>
      <w:r>
        <w:t xml:space="preserve">Weitz filed the breach of contract case against </w:t>
      </w:r>
      <w:proofErr w:type="spellStart"/>
      <w:r>
        <w:t>MacKenzie</w:t>
      </w:r>
      <w:proofErr w:type="spellEnd"/>
      <w:r>
        <w:t xml:space="preserve"> seeking </w:t>
      </w:r>
      <w:proofErr w:type="gramStart"/>
      <w:r>
        <w:t>in excess of</w:t>
      </w:r>
      <w:proofErr w:type="gramEnd"/>
      <w:r>
        <w:t xml:space="preserve"> $3 million in damages. </w:t>
      </w:r>
      <w:r w:rsidR="00CB5D33">
        <w:t xml:space="preserve">The jury trial resulted in judgments in favor of </w:t>
      </w:r>
      <w:proofErr w:type="spellStart"/>
      <w:r w:rsidR="00CB5D33">
        <w:t>MacKenzie</w:t>
      </w:r>
      <w:proofErr w:type="spellEnd"/>
      <w:r w:rsidR="004745AD">
        <w:t xml:space="preserve"> (almost $5 million)</w:t>
      </w:r>
      <w:r w:rsidR="00CB5D33">
        <w:t xml:space="preserve"> and Arrowhead </w:t>
      </w:r>
      <w:r w:rsidR="004745AD">
        <w:t xml:space="preserve">(over $550,000) </w:t>
      </w:r>
      <w:r w:rsidR="00CB5D33">
        <w:t>on their counterclaims against Weitz</w:t>
      </w:r>
      <w:r w:rsidR="001C34B8">
        <w:t>.</w:t>
      </w:r>
      <w:r w:rsidR="00CB5D33">
        <w:t xml:space="preserve"> Concorde did not </w:t>
      </w:r>
      <w:r w:rsidR="004745AD">
        <w:t xml:space="preserve">actively </w:t>
      </w:r>
      <w:r w:rsidR="00CB5D33">
        <w:t>participate in the trial</w:t>
      </w:r>
      <w:r w:rsidR="004745AD">
        <w:t>, but judgment was for Concorde on Weitz’s claim</w:t>
      </w:r>
      <w:r w:rsidR="00CB5D33">
        <w:t>.</w:t>
      </w:r>
      <w:r>
        <w:t xml:space="preserve"> The 8</w:t>
      </w:r>
      <w:r w:rsidRPr="00F2351E">
        <w:rPr>
          <w:vertAlign w:val="superscript"/>
        </w:rPr>
        <w:t>th</w:t>
      </w:r>
      <w:r>
        <w:t xml:space="preserve"> Circuit affirmed on appeal.</w:t>
      </w:r>
      <w:r w:rsidR="000061CD">
        <w:t xml:space="preserve"> </w:t>
      </w:r>
      <w:r w:rsidR="000061CD" w:rsidRPr="000061CD">
        <w:rPr>
          <w:u w:val="single"/>
        </w:rPr>
        <w:t xml:space="preserve">Weitz Co. LLC v. </w:t>
      </w:r>
      <w:proofErr w:type="spellStart"/>
      <w:r w:rsidR="000061CD" w:rsidRPr="000061CD">
        <w:rPr>
          <w:u w:val="single"/>
        </w:rPr>
        <w:t>MacKenzie</w:t>
      </w:r>
      <w:proofErr w:type="spellEnd"/>
      <w:r w:rsidR="000061CD" w:rsidRPr="000061CD">
        <w:rPr>
          <w:u w:val="single"/>
        </w:rPr>
        <w:t xml:space="preserve"> House, LLC</w:t>
      </w:r>
      <w:r w:rsidR="000061CD" w:rsidRPr="000061CD">
        <w:t>, 665 F.3d 970 (8th Cir. 2012)</w:t>
      </w:r>
      <w:r w:rsidR="000061CD">
        <w:t>.</w:t>
      </w:r>
    </w:p>
    <w:p w14:paraId="49B0DAC7" w14:textId="160F77D0" w:rsidR="00261FC6" w:rsidRDefault="001F78DB" w:rsidP="001F78DB">
      <w:pPr>
        <w:ind w:firstLine="720"/>
      </w:pPr>
      <w:r w:rsidRPr="009115E8">
        <w:rPr>
          <w:i/>
          <w:iCs/>
        </w:rPr>
        <w:t>The d</w:t>
      </w:r>
      <w:r w:rsidR="004D4812" w:rsidRPr="009115E8">
        <w:rPr>
          <w:i/>
          <w:iCs/>
        </w:rPr>
        <w:t xml:space="preserve">elay </w:t>
      </w:r>
      <w:r w:rsidR="00104824" w:rsidRPr="009115E8">
        <w:rPr>
          <w:i/>
          <w:iCs/>
        </w:rPr>
        <w:t>dispute</w:t>
      </w:r>
      <w:r w:rsidR="004D4812" w:rsidRPr="009115E8">
        <w:rPr>
          <w:i/>
          <w:iCs/>
        </w:rPr>
        <w:t>.</w:t>
      </w:r>
      <w:r w:rsidR="004D4812">
        <w:rPr>
          <w:b/>
          <w:bCs/>
        </w:rPr>
        <w:t xml:space="preserve"> </w:t>
      </w:r>
      <w:r w:rsidR="0095397A">
        <w:t>Delays occurred early and often</w:t>
      </w:r>
      <w:r w:rsidR="00B368EB">
        <w:t>. Causes</w:t>
      </w:r>
      <w:r w:rsidR="00261FC6">
        <w:t xml:space="preserve"> </w:t>
      </w:r>
      <w:r w:rsidR="00B368EB">
        <w:t xml:space="preserve">and impacts of the </w:t>
      </w:r>
      <w:r w:rsidR="00261FC6">
        <w:t xml:space="preserve">delays </w:t>
      </w:r>
      <w:r w:rsidR="0095397A">
        <w:t>were</w:t>
      </w:r>
      <w:r w:rsidR="001C34B8">
        <w:t xml:space="preserve"> hotly</w:t>
      </w:r>
      <w:r w:rsidR="00261FC6">
        <w:t xml:space="preserve"> contested. Weitz claim</w:t>
      </w:r>
      <w:r w:rsidR="001C34B8">
        <w:t>ed</w:t>
      </w:r>
      <w:r w:rsidR="00261FC6">
        <w:t xml:space="preserve"> </w:t>
      </w:r>
      <w:proofErr w:type="spellStart"/>
      <w:r w:rsidR="00261FC6">
        <w:t>MacKenzie</w:t>
      </w:r>
      <w:proofErr w:type="spellEnd"/>
      <w:r w:rsidR="00261FC6">
        <w:t xml:space="preserve"> forced Weitz to use certain subcontractors</w:t>
      </w:r>
      <w:r w:rsidR="00EE7651" w:rsidRPr="00EE7651">
        <w:t xml:space="preserve"> </w:t>
      </w:r>
      <w:r w:rsidR="00EE7651">
        <w:t>that Weitz would not otherwise have used</w:t>
      </w:r>
      <w:r w:rsidR="00B740A8">
        <w:t xml:space="preserve"> (particularly Arrowhead</w:t>
      </w:r>
      <w:r w:rsidR="00EE7651">
        <w:t xml:space="preserve"> for site work and structural concrete</w:t>
      </w:r>
      <w:r w:rsidR="00B740A8">
        <w:t xml:space="preserve"> and Concorde</w:t>
      </w:r>
      <w:r w:rsidR="00EE7651" w:rsidRPr="00EE7651">
        <w:t xml:space="preserve"> </w:t>
      </w:r>
      <w:r w:rsidR="00EE7651">
        <w:t xml:space="preserve">for </w:t>
      </w:r>
      <w:r w:rsidR="005E39DE">
        <w:t>over</w:t>
      </w:r>
      <w:r w:rsidR="00EE7651">
        <w:t xml:space="preserve"> 2</w:t>
      </w:r>
      <w:r w:rsidR="005E39DE">
        <w:t>5</w:t>
      </w:r>
      <w:r w:rsidR="00EE7651">
        <w:t>% of the total work</w:t>
      </w:r>
      <w:r w:rsidR="00B740A8">
        <w:t>)</w:t>
      </w:r>
      <w:r w:rsidR="00261FC6">
        <w:t xml:space="preserve"> and that these subcontractors </w:t>
      </w:r>
      <w:r w:rsidR="0095397A">
        <w:t>caused</w:t>
      </w:r>
      <w:r w:rsidR="00261FC6">
        <w:t xml:space="preserve"> most of the delays, with </w:t>
      </w:r>
      <w:proofErr w:type="spellStart"/>
      <w:r w:rsidR="00261FC6">
        <w:t>MacKenzie</w:t>
      </w:r>
      <w:proofErr w:type="spellEnd"/>
      <w:r w:rsidR="00261FC6">
        <w:t xml:space="preserve"> itself responsible for other delays</w:t>
      </w:r>
      <w:r w:rsidR="001C34B8">
        <w:t xml:space="preserve"> (poor management, improperly withheld or delayed progress payments)</w:t>
      </w:r>
      <w:r w:rsidR="00261FC6">
        <w:t xml:space="preserve">. </w:t>
      </w:r>
      <w:r w:rsidR="0098385D">
        <w:t xml:space="preserve">The contracts </w:t>
      </w:r>
      <w:r w:rsidR="001C34B8">
        <w:t>were</w:t>
      </w:r>
      <w:r w:rsidR="0098385D">
        <w:t xml:space="preserve"> based on AIA forms. Section 10.4 </w:t>
      </w:r>
      <w:r w:rsidR="0098385D">
        <w:lastRenderedPageBreak/>
        <w:t xml:space="preserve">of the </w:t>
      </w:r>
      <w:r w:rsidR="003A0A16">
        <w:t>owner-contractor agreement</w:t>
      </w:r>
      <w:r w:rsidR="0098385D">
        <w:t xml:space="preserve">, however, </w:t>
      </w:r>
      <w:r w:rsidR="001C34B8">
        <w:t>was</w:t>
      </w:r>
      <w:r w:rsidR="0098385D">
        <w:t xml:space="preserve"> a negotiated provision that Weitz claim</w:t>
      </w:r>
      <w:r w:rsidR="001C34B8">
        <w:t>ed</w:t>
      </w:r>
      <w:r w:rsidR="0098385D">
        <w:t xml:space="preserve"> was intended to indemnify Weitz against problems attributable to certain subcontractors. Section 10.4 appears to </w:t>
      </w:r>
      <w:r w:rsidR="000426A7">
        <w:t>be incomplete</w:t>
      </w:r>
      <w:r w:rsidR="000D4465">
        <w:t xml:space="preserve">, </w:t>
      </w:r>
      <w:r w:rsidR="00B740A8">
        <w:t xml:space="preserve">although it does identify Concorde (but not Arrowhead) as having been selected by </w:t>
      </w:r>
      <w:proofErr w:type="spellStart"/>
      <w:r w:rsidR="00B740A8">
        <w:t>MacKenzie</w:t>
      </w:r>
      <w:proofErr w:type="spellEnd"/>
      <w:r w:rsidR="001C34B8">
        <w:t xml:space="preserve"> rather than Weitz</w:t>
      </w:r>
      <w:r w:rsidR="0098385D">
        <w:t xml:space="preserve">. The trial court allowed Weitz to try the case on the theory that Section 10.4 </w:t>
      </w:r>
      <w:r w:rsidR="00F42A06">
        <w:t xml:space="preserve">was intended to </w:t>
      </w:r>
      <w:r w:rsidR="0098385D">
        <w:t>transfer</w:t>
      </w:r>
      <w:r w:rsidR="001C34B8">
        <w:t xml:space="preserve"> a significant degree of</w:t>
      </w:r>
      <w:r w:rsidR="0098385D">
        <w:t xml:space="preserve"> subcontractor</w:t>
      </w:r>
      <w:r w:rsidR="005E39DE">
        <w:t xml:space="preserve"> default</w:t>
      </w:r>
      <w:r w:rsidR="0098385D">
        <w:t xml:space="preserve"> risk to </w:t>
      </w:r>
      <w:proofErr w:type="spellStart"/>
      <w:r w:rsidR="0098385D">
        <w:t>MacKenzie</w:t>
      </w:r>
      <w:proofErr w:type="spellEnd"/>
      <w:r w:rsidR="0098385D">
        <w:t>, but the jury did not buy the argument.</w:t>
      </w:r>
    </w:p>
    <w:p w14:paraId="501964E7" w14:textId="630F3C18" w:rsidR="009A1489" w:rsidRDefault="001F78DB" w:rsidP="001F78DB">
      <w:pPr>
        <w:ind w:firstLine="720"/>
      </w:pPr>
      <w:r w:rsidRPr="009115E8">
        <w:rPr>
          <w:i/>
          <w:iCs/>
        </w:rPr>
        <w:t>Weitz’s delay analysis</w:t>
      </w:r>
      <w:r w:rsidR="004D4812" w:rsidRPr="009115E8">
        <w:rPr>
          <w:i/>
          <w:iCs/>
        </w:rPr>
        <w:t>.</w:t>
      </w:r>
      <w:r w:rsidR="004D4812">
        <w:rPr>
          <w:b/>
          <w:bCs/>
        </w:rPr>
        <w:t xml:space="preserve"> </w:t>
      </w:r>
      <w:r w:rsidR="0098385D">
        <w:t xml:space="preserve">Pat Brannon </w:t>
      </w:r>
      <w:r w:rsidR="004174B3">
        <w:t>was</w:t>
      </w:r>
      <w:r w:rsidR="0098385D">
        <w:t xml:space="preserve"> the primary expert consultant and witness for Weitz. Brannon </w:t>
      </w:r>
      <w:r w:rsidR="00B368EB">
        <w:t xml:space="preserve">had </w:t>
      </w:r>
      <w:r w:rsidR="0098385D">
        <w:t xml:space="preserve">worked extensively for Weitz on other projects, including as an expert witness on other delay claim cases, one of which involved another </w:t>
      </w:r>
      <w:proofErr w:type="spellStart"/>
      <w:r w:rsidR="0098385D">
        <w:t>MacKenzie</w:t>
      </w:r>
      <w:proofErr w:type="spellEnd"/>
      <w:r w:rsidR="0098385D">
        <w:t xml:space="preserve"> project. Brannon’s report and his trial testimony</w:t>
      </w:r>
      <w:r w:rsidR="006503DA">
        <w:t>, using the “windows” method of delay analysi</w:t>
      </w:r>
      <w:r w:rsidR="004174B3">
        <w:t>s,</w:t>
      </w:r>
      <w:r w:rsidR="0098385D">
        <w:t xml:space="preserve"> </w:t>
      </w:r>
      <w:r w:rsidR="006503DA">
        <w:t>essentially</w:t>
      </w:r>
      <w:r w:rsidR="004174B3">
        <w:t xml:space="preserve"> placed</w:t>
      </w:r>
      <w:r w:rsidR="0098385D">
        <w:t xml:space="preserve"> blame for the delays on </w:t>
      </w:r>
      <w:proofErr w:type="spellStart"/>
      <w:r w:rsidR="0098385D">
        <w:t>MacKenzie</w:t>
      </w:r>
      <w:proofErr w:type="spellEnd"/>
      <w:r w:rsidR="00AC0C3C">
        <w:t>, Concorde,</w:t>
      </w:r>
      <w:r w:rsidR="0098385D">
        <w:t xml:space="preserve"> and </w:t>
      </w:r>
      <w:r w:rsidR="006503DA">
        <w:t>Arrowhead.</w:t>
      </w:r>
      <w:r w:rsidR="0098385D">
        <w:t xml:space="preserve"> </w:t>
      </w:r>
      <w:r w:rsidR="00453ECE">
        <w:t xml:space="preserve">Lin Heath, an expert for </w:t>
      </w:r>
      <w:r w:rsidR="00086ED5">
        <w:t xml:space="preserve">the defense, testified that Brannon’s report and analysis </w:t>
      </w:r>
      <w:r w:rsidR="00720FBF">
        <w:t>were seriously flawed.</w:t>
      </w:r>
    </w:p>
    <w:p w14:paraId="4AC46EBB" w14:textId="77777777" w:rsidR="002A0829" w:rsidRDefault="005241D0" w:rsidP="009A1489">
      <w:pPr>
        <w:ind w:firstLine="720"/>
      </w:pPr>
      <w:r>
        <w:rPr>
          <w:i/>
          <w:iCs/>
        </w:rPr>
        <w:t>Basic filings to review</w:t>
      </w:r>
      <w:r w:rsidR="004E6FBA">
        <w:rPr>
          <w:i/>
          <w:iCs/>
        </w:rPr>
        <w:t xml:space="preserve">. </w:t>
      </w:r>
      <w:r w:rsidR="004E6FBA">
        <w:t>While other filings available on Westlaw may be used for specific exercises, these are the basic filings to orient the students to the case:</w:t>
      </w:r>
    </w:p>
    <w:p w14:paraId="7C0305DF" w14:textId="46FAB918" w:rsidR="002A0829" w:rsidRDefault="009A1489" w:rsidP="002A0829">
      <w:pPr>
        <w:pStyle w:val="ListParagraph"/>
        <w:numPr>
          <w:ilvl w:val="0"/>
          <w:numId w:val="1"/>
        </w:numPr>
      </w:pPr>
      <w:r>
        <w:t>Weitz complaint</w:t>
      </w:r>
      <w:r w:rsidR="00ED1E0B">
        <w:t>.</w:t>
      </w:r>
    </w:p>
    <w:p w14:paraId="2ECBDA25" w14:textId="7DC17880" w:rsidR="002A0829" w:rsidRDefault="009A1489" w:rsidP="002A0829">
      <w:pPr>
        <w:pStyle w:val="ListParagraph"/>
        <w:numPr>
          <w:ilvl w:val="0"/>
          <w:numId w:val="1"/>
        </w:numPr>
      </w:pPr>
      <w:r>
        <w:t>McKenzie answer and counterclaim</w:t>
      </w:r>
      <w:r w:rsidR="00ED1E0B">
        <w:t>.</w:t>
      </w:r>
    </w:p>
    <w:p w14:paraId="293D04E9" w14:textId="27CB3F0B" w:rsidR="009C1D37" w:rsidRDefault="009A1489" w:rsidP="002A0829">
      <w:pPr>
        <w:pStyle w:val="ListParagraph"/>
        <w:numPr>
          <w:ilvl w:val="0"/>
          <w:numId w:val="1"/>
        </w:numPr>
      </w:pPr>
      <w:r>
        <w:t xml:space="preserve">Section 10.4 of </w:t>
      </w:r>
      <w:r w:rsidR="00465844">
        <w:t>o</w:t>
      </w:r>
      <w:r w:rsidR="002A0829">
        <w:t>wner</w:t>
      </w:r>
      <w:r>
        <w:t>-</w:t>
      </w:r>
      <w:r w:rsidR="00465844">
        <w:t>c</w:t>
      </w:r>
      <w:r w:rsidR="002A0829">
        <w:t>ontractor</w:t>
      </w:r>
      <w:r>
        <w:t xml:space="preserve"> contract</w:t>
      </w:r>
      <w:r w:rsidR="00ED1E0B">
        <w:t>.</w:t>
      </w:r>
    </w:p>
    <w:p w14:paraId="6FEE8DB5" w14:textId="75D2463E" w:rsidR="009C1D37" w:rsidRDefault="009A1489" w:rsidP="002A0829">
      <w:pPr>
        <w:pStyle w:val="ListParagraph"/>
        <w:numPr>
          <w:ilvl w:val="0"/>
          <w:numId w:val="1"/>
        </w:numPr>
      </w:pPr>
      <w:r>
        <w:t>Pretrial order on expert testimony</w:t>
      </w:r>
      <w:r w:rsidR="00ED1E0B">
        <w:t>.</w:t>
      </w:r>
    </w:p>
    <w:p w14:paraId="7A3CC408" w14:textId="026243B3" w:rsidR="00FF6B83" w:rsidRDefault="006D7B38" w:rsidP="002A0829">
      <w:pPr>
        <w:pStyle w:val="ListParagraph"/>
        <w:numPr>
          <w:ilvl w:val="0"/>
          <w:numId w:val="1"/>
        </w:numPr>
      </w:pPr>
      <w:r>
        <w:t>Pat Brannon’s expert report</w:t>
      </w:r>
      <w:r w:rsidR="00190D46">
        <w:t xml:space="preserve"> and</w:t>
      </w:r>
      <w:r w:rsidR="001148E9">
        <w:t xml:space="preserve"> the transcript of</w:t>
      </w:r>
      <w:r w:rsidR="00190D46">
        <w:t xml:space="preserve"> his testimony. </w:t>
      </w:r>
      <w:r w:rsidR="00831033">
        <w:t>While</w:t>
      </w:r>
      <w:r w:rsidR="009119BC">
        <w:t xml:space="preserve"> </w:t>
      </w:r>
      <w:r w:rsidR="00190D46">
        <w:t xml:space="preserve">reviewing the full report and </w:t>
      </w:r>
      <w:r w:rsidR="000F2001">
        <w:t xml:space="preserve">the </w:t>
      </w:r>
      <w:r w:rsidR="00190D46">
        <w:t xml:space="preserve">entire transcript of the testimony </w:t>
      </w:r>
      <w:r w:rsidR="00831033">
        <w:t xml:space="preserve">will facilitate </w:t>
      </w:r>
      <w:r w:rsidR="00030654">
        <w:t>a comprehensive study,</w:t>
      </w:r>
      <w:r w:rsidR="00154081">
        <w:t xml:space="preserve"> </w:t>
      </w:r>
      <w:r w:rsidR="00445636">
        <w:t>the</w:t>
      </w:r>
      <w:r w:rsidR="000F2001">
        <w:t xml:space="preserve"> </w:t>
      </w:r>
      <w:r w:rsidR="00A41B42">
        <w:t xml:space="preserve">selective </w:t>
      </w:r>
      <w:r w:rsidR="004C28F7">
        <w:t>portions</w:t>
      </w:r>
      <w:r w:rsidR="00445636">
        <w:t xml:space="preserve"> specified here</w:t>
      </w:r>
      <w:r w:rsidR="00A41B42">
        <w:t xml:space="preserve"> from the report and testimony</w:t>
      </w:r>
      <w:r w:rsidR="00ED7549">
        <w:t xml:space="preserve"> can be the basis for more targeted exercises</w:t>
      </w:r>
      <w:r w:rsidR="00930EF2">
        <w:t>. From</w:t>
      </w:r>
      <w:r w:rsidR="009A1489">
        <w:t xml:space="preserve"> </w:t>
      </w:r>
      <w:r w:rsidR="0043443F">
        <w:t>Brannon’s</w:t>
      </w:r>
      <w:r w:rsidR="009A1489">
        <w:t xml:space="preserve"> report</w:t>
      </w:r>
      <w:r w:rsidR="00930EF2">
        <w:t>, these pages</w:t>
      </w:r>
      <w:r w:rsidR="009A1489">
        <w:t>: 1-23 (middle of the page); 83-88; 94-120 (end of Window #3)</w:t>
      </w:r>
      <w:r w:rsidR="00E75D57">
        <w:t>.</w:t>
      </w:r>
      <w:r w:rsidR="009A1489">
        <w:t xml:space="preserve"> </w:t>
      </w:r>
      <w:r w:rsidR="00095702">
        <w:t>F</w:t>
      </w:r>
      <w:r w:rsidR="009A1489">
        <w:t xml:space="preserve">rom </w:t>
      </w:r>
      <w:r w:rsidR="0043443F">
        <w:t>Brannon’s</w:t>
      </w:r>
      <w:r w:rsidR="009A1489">
        <w:t xml:space="preserve"> testimony, pages: 9-14; 19 (line 11) – 28 (line 21); 111 (line 8) – 117 (line 7); 147 (line 15) – 158 (line 10).</w:t>
      </w:r>
    </w:p>
    <w:p w14:paraId="755BA585" w14:textId="0D246717" w:rsidR="00206CFF" w:rsidRDefault="00206CFF" w:rsidP="002A0829">
      <w:pPr>
        <w:pStyle w:val="ListParagraph"/>
        <w:numPr>
          <w:ilvl w:val="0"/>
          <w:numId w:val="1"/>
        </w:numPr>
      </w:pPr>
      <w:r w:rsidRPr="00206CFF">
        <w:t>T</w:t>
      </w:r>
      <w:r>
        <w:t>ranscript of t</w:t>
      </w:r>
      <w:r w:rsidRPr="00206CFF">
        <w:t>estimony of Defendant’s Expert Witness, Lin Heath</w:t>
      </w:r>
      <w:r w:rsidR="0046657C">
        <w:t>.</w:t>
      </w:r>
    </w:p>
    <w:p w14:paraId="73DC2AF3" w14:textId="3ED94520" w:rsidR="00AE5273" w:rsidRPr="004D4812" w:rsidRDefault="00AE5273" w:rsidP="005172CE">
      <w:pPr>
        <w:rPr>
          <w:rFonts w:eastAsia="Times New Roman"/>
        </w:rPr>
      </w:pPr>
    </w:p>
    <w:p w14:paraId="5828938D" w14:textId="6068AAE8" w:rsidR="00AE5273" w:rsidRPr="00EA41A2" w:rsidRDefault="00AE5273"/>
    <w:sectPr w:rsidR="00AE5273" w:rsidRPr="00EA41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CCF6" w14:textId="77777777" w:rsidR="00D12826" w:rsidRDefault="00D12826" w:rsidP="006D321A">
      <w:pPr>
        <w:spacing w:after="0" w:line="240" w:lineRule="auto"/>
      </w:pPr>
      <w:r>
        <w:separator/>
      </w:r>
    </w:p>
  </w:endnote>
  <w:endnote w:type="continuationSeparator" w:id="0">
    <w:p w14:paraId="7D2D427F" w14:textId="77777777" w:rsidR="00D12826" w:rsidRDefault="00D12826" w:rsidP="006D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885550"/>
      <w:docPartObj>
        <w:docPartGallery w:val="Page Numbers (Bottom of Page)"/>
        <w:docPartUnique/>
      </w:docPartObj>
    </w:sdtPr>
    <w:sdtEndPr>
      <w:rPr>
        <w:noProof/>
      </w:rPr>
    </w:sdtEndPr>
    <w:sdtContent>
      <w:p w14:paraId="084AA811" w14:textId="3D7B1B5C" w:rsidR="006D321A" w:rsidRDefault="006D32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E748F" w14:textId="77777777" w:rsidR="006D321A" w:rsidRDefault="006D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7201" w14:textId="77777777" w:rsidR="00D12826" w:rsidRDefault="00D12826" w:rsidP="006D321A">
      <w:pPr>
        <w:spacing w:after="0" w:line="240" w:lineRule="auto"/>
      </w:pPr>
      <w:r>
        <w:separator/>
      </w:r>
    </w:p>
  </w:footnote>
  <w:footnote w:type="continuationSeparator" w:id="0">
    <w:p w14:paraId="58EFADC5" w14:textId="77777777" w:rsidR="00D12826" w:rsidRDefault="00D12826" w:rsidP="006D3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75135"/>
    <w:multiLevelType w:val="hybridMultilevel"/>
    <w:tmpl w:val="610A1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605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A2"/>
    <w:rsid w:val="000061CD"/>
    <w:rsid w:val="000117CC"/>
    <w:rsid w:val="00030654"/>
    <w:rsid w:val="00030970"/>
    <w:rsid w:val="0003318A"/>
    <w:rsid w:val="0003663C"/>
    <w:rsid w:val="000426A7"/>
    <w:rsid w:val="00073296"/>
    <w:rsid w:val="00086ED5"/>
    <w:rsid w:val="00095702"/>
    <w:rsid w:val="000D4465"/>
    <w:rsid w:val="000D62E3"/>
    <w:rsid w:val="000F2001"/>
    <w:rsid w:val="000F7B34"/>
    <w:rsid w:val="00104824"/>
    <w:rsid w:val="001148E9"/>
    <w:rsid w:val="00154081"/>
    <w:rsid w:val="00157202"/>
    <w:rsid w:val="00170910"/>
    <w:rsid w:val="00190D46"/>
    <w:rsid w:val="001B5193"/>
    <w:rsid w:val="001C34B8"/>
    <w:rsid w:val="001F78DB"/>
    <w:rsid w:val="00206CFF"/>
    <w:rsid w:val="0023210A"/>
    <w:rsid w:val="00242462"/>
    <w:rsid w:val="00261FC6"/>
    <w:rsid w:val="002625A8"/>
    <w:rsid w:val="00270602"/>
    <w:rsid w:val="002A0829"/>
    <w:rsid w:val="002B284C"/>
    <w:rsid w:val="002D121D"/>
    <w:rsid w:val="002D6D11"/>
    <w:rsid w:val="002F43EA"/>
    <w:rsid w:val="00301259"/>
    <w:rsid w:val="003213CC"/>
    <w:rsid w:val="0034646B"/>
    <w:rsid w:val="00350F43"/>
    <w:rsid w:val="00394C99"/>
    <w:rsid w:val="003975C5"/>
    <w:rsid w:val="003A0A16"/>
    <w:rsid w:val="003C4A11"/>
    <w:rsid w:val="004174B3"/>
    <w:rsid w:val="0043443F"/>
    <w:rsid w:val="0043554E"/>
    <w:rsid w:val="00445636"/>
    <w:rsid w:val="00453ECE"/>
    <w:rsid w:val="00465844"/>
    <w:rsid w:val="0046657C"/>
    <w:rsid w:val="004745AD"/>
    <w:rsid w:val="004A7677"/>
    <w:rsid w:val="004C28F7"/>
    <w:rsid w:val="004D4812"/>
    <w:rsid w:val="004E6FBA"/>
    <w:rsid w:val="005172CE"/>
    <w:rsid w:val="00524006"/>
    <w:rsid w:val="005241D0"/>
    <w:rsid w:val="00526326"/>
    <w:rsid w:val="00534D67"/>
    <w:rsid w:val="0055746C"/>
    <w:rsid w:val="005716AB"/>
    <w:rsid w:val="005821A9"/>
    <w:rsid w:val="00582ED9"/>
    <w:rsid w:val="005B0EFD"/>
    <w:rsid w:val="005E39DE"/>
    <w:rsid w:val="006503DA"/>
    <w:rsid w:val="00673D36"/>
    <w:rsid w:val="006929C3"/>
    <w:rsid w:val="006B3C72"/>
    <w:rsid w:val="006D321A"/>
    <w:rsid w:val="006D7B38"/>
    <w:rsid w:val="006F79E2"/>
    <w:rsid w:val="00717A53"/>
    <w:rsid w:val="00720FBF"/>
    <w:rsid w:val="007349BB"/>
    <w:rsid w:val="007742FA"/>
    <w:rsid w:val="00781403"/>
    <w:rsid w:val="007A6BA8"/>
    <w:rsid w:val="007B2DE3"/>
    <w:rsid w:val="007C00B6"/>
    <w:rsid w:val="0080733B"/>
    <w:rsid w:val="00831033"/>
    <w:rsid w:val="0084569A"/>
    <w:rsid w:val="008474E8"/>
    <w:rsid w:val="008A4F4C"/>
    <w:rsid w:val="00902AC0"/>
    <w:rsid w:val="009115E8"/>
    <w:rsid w:val="009119BC"/>
    <w:rsid w:val="00930EF2"/>
    <w:rsid w:val="0093271E"/>
    <w:rsid w:val="00936D2C"/>
    <w:rsid w:val="0095397A"/>
    <w:rsid w:val="0098385D"/>
    <w:rsid w:val="009A1489"/>
    <w:rsid w:val="009C1D37"/>
    <w:rsid w:val="00A14D5C"/>
    <w:rsid w:val="00A21E39"/>
    <w:rsid w:val="00A41B42"/>
    <w:rsid w:val="00AA5CBA"/>
    <w:rsid w:val="00AB1525"/>
    <w:rsid w:val="00AC026C"/>
    <w:rsid w:val="00AC0C3C"/>
    <w:rsid w:val="00AE5273"/>
    <w:rsid w:val="00B168F7"/>
    <w:rsid w:val="00B368EB"/>
    <w:rsid w:val="00B4523E"/>
    <w:rsid w:val="00B740A8"/>
    <w:rsid w:val="00BA0DEC"/>
    <w:rsid w:val="00BD1358"/>
    <w:rsid w:val="00BE1DF1"/>
    <w:rsid w:val="00C24249"/>
    <w:rsid w:val="00C3625B"/>
    <w:rsid w:val="00C447FF"/>
    <w:rsid w:val="00CA22EA"/>
    <w:rsid w:val="00CB562D"/>
    <w:rsid w:val="00CB5D33"/>
    <w:rsid w:val="00CD221E"/>
    <w:rsid w:val="00CD2B4D"/>
    <w:rsid w:val="00D05997"/>
    <w:rsid w:val="00D12826"/>
    <w:rsid w:val="00D12ECE"/>
    <w:rsid w:val="00D64382"/>
    <w:rsid w:val="00E0403A"/>
    <w:rsid w:val="00E320A1"/>
    <w:rsid w:val="00E37404"/>
    <w:rsid w:val="00E54EF2"/>
    <w:rsid w:val="00E75D57"/>
    <w:rsid w:val="00EA41A2"/>
    <w:rsid w:val="00EB7D47"/>
    <w:rsid w:val="00ED1E0B"/>
    <w:rsid w:val="00ED7549"/>
    <w:rsid w:val="00EE7651"/>
    <w:rsid w:val="00F23306"/>
    <w:rsid w:val="00F2351E"/>
    <w:rsid w:val="00F251F4"/>
    <w:rsid w:val="00F42A06"/>
    <w:rsid w:val="00F45E4E"/>
    <w:rsid w:val="00F555E7"/>
    <w:rsid w:val="00F80D4A"/>
    <w:rsid w:val="00FC0C71"/>
    <w:rsid w:val="00FD6773"/>
    <w:rsid w:val="00FE650E"/>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4AD4"/>
  <w15:chartTrackingRefBased/>
  <w15:docId w15:val="{1C4B2111-1D93-4C9C-B890-EA53FA56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29"/>
    <w:pPr>
      <w:ind w:left="720"/>
      <w:contextualSpacing/>
    </w:pPr>
  </w:style>
  <w:style w:type="paragraph" w:styleId="Header">
    <w:name w:val="header"/>
    <w:basedOn w:val="Normal"/>
    <w:link w:val="HeaderChar"/>
    <w:uiPriority w:val="99"/>
    <w:unhideWhenUsed/>
    <w:rsid w:val="006D3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21A"/>
  </w:style>
  <w:style w:type="paragraph" w:styleId="Footer">
    <w:name w:val="footer"/>
    <w:basedOn w:val="Normal"/>
    <w:link w:val="FooterChar"/>
    <w:uiPriority w:val="99"/>
    <w:unhideWhenUsed/>
    <w:rsid w:val="006D3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3450">
      <w:bodyDiv w:val="1"/>
      <w:marLeft w:val="0"/>
      <w:marRight w:val="0"/>
      <w:marTop w:val="0"/>
      <w:marBottom w:val="0"/>
      <w:divBdr>
        <w:top w:val="none" w:sz="0" w:space="0" w:color="auto"/>
        <w:left w:val="none" w:sz="0" w:space="0" w:color="auto"/>
        <w:bottom w:val="none" w:sz="0" w:space="0" w:color="auto"/>
        <w:right w:val="none" w:sz="0" w:space="0" w:color="auto"/>
      </w:divBdr>
      <w:divsChild>
        <w:div w:id="155858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2024-06-29T14:48:00Z</dcterms:created>
  <dcterms:modified xsi:type="dcterms:W3CDTF">2024-06-29T14:48:00Z</dcterms:modified>
</cp:coreProperties>
</file>