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2F804" w14:textId="77777777" w:rsidR="00133684" w:rsidRPr="004F109D" w:rsidRDefault="00AF3CD7">
      <w:pPr>
        <w:rPr>
          <w:b/>
          <w:szCs w:val="24"/>
        </w:rPr>
      </w:pPr>
      <w:r w:rsidRPr="004F109D">
        <w:rPr>
          <w:b/>
          <w:szCs w:val="24"/>
        </w:rPr>
        <w:t>Construction Law</w:t>
      </w:r>
      <w:r w:rsidR="004F109D" w:rsidRPr="004F109D">
        <w:rPr>
          <w:b/>
          <w:szCs w:val="24"/>
        </w:rPr>
        <w:t xml:space="preserve"> Practic</w:t>
      </w:r>
      <w:r w:rsidR="00FE6344">
        <w:rPr>
          <w:b/>
          <w:szCs w:val="24"/>
        </w:rPr>
        <w:t>e</w:t>
      </w:r>
    </w:p>
    <w:p w14:paraId="3E6157BE" w14:textId="271327F7" w:rsidR="003B678A" w:rsidRDefault="00836F21" w:rsidP="00AF3CD7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4F109D">
        <w:rPr>
          <w:b/>
          <w:szCs w:val="24"/>
        </w:rPr>
        <w:t>H</w:t>
      </w:r>
      <w:r>
        <w:rPr>
          <w:b/>
          <w:szCs w:val="24"/>
        </w:rPr>
        <w:t>omebuilder</w:t>
      </w:r>
      <w:r w:rsidR="00FE6344">
        <w:rPr>
          <w:b/>
          <w:szCs w:val="24"/>
        </w:rPr>
        <w:t xml:space="preserve"> warranty exercise</w:t>
      </w:r>
    </w:p>
    <w:p w14:paraId="4E051929" w14:textId="77777777" w:rsidR="00512D23" w:rsidRDefault="00512D23" w:rsidP="00AF3CD7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</w:p>
    <w:p w14:paraId="6D7E38E2" w14:textId="6F8D6067" w:rsidR="00512D23" w:rsidRPr="00512D23" w:rsidRDefault="00512D23" w:rsidP="00AF3C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Cs w:val="24"/>
        </w:rPr>
      </w:pPr>
      <w:r>
        <w:rPr>
          <w:bCs/>
          <w:szCs w:val="24"/>
        </w:rPr>
        <w:t xml:space="preserve">Note: This exercise is based on Arkansas implied warranty cases. It can easily be adapted to other jurisdictions by substituting the </w:t>
      </w:r>
      <w:r w:rsidR="00336997">
        <w:rPr>
          <w:bCs/>
          <w:szCs w:val="24"/>
        </w:rPr>
        <w:t>case citations or by instructing the students to conduct their own research.</w:t>
      </w:r>
    </w:p>
    <w:p w14:paraId="376FE6E5" w14:textId="77777777" w:rsidR="008F5E1F" w:rsidRPr="004F109D" w:rsidRDefault="008F5E1F" w:rsidP="00AF3CD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Cs w:val="24"/>
        </w:rPr>
      </w:pPr>
    </w:p>
    <w:p w14:paraId="5AF9C35F" w14:textId="2602BB0F" w:rsidR="00C55B5F" w:rsidRPr="003B1FBB" w:rsidRDefault="00C55B5F" w:rsidP="00C55B5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Cs w:val="24"/>
        </w:rPr>
      </w:pPr>
      <w:r w:rsidRPr="004F109D">
        <w:rPr>
          <w:rFonts w:cs="Times New Roman"/>
          <w:bCs/>
          <w:color w:val="000000"/>
          <w:szCs w:val="24"/>
        </w:rPr>
        <w:tab/>
        <w:t>This assignment is based on</w:t>
      </w:r>
      <w:r w:rsidR="00C74A38">
        <w:rPr>
          <w:rFonts w:cs="Times New Roman"/>
          <w:bCs/>
          <w:color w:val="000000"/>
          <w:szCs w:val="24"/>
        </w:rPr>
        <w:t xml:space="preserve"> Arkansas law concerning</w:t>
      </w:r>
      <w:r w:rsidRPr="004F109D">
        <w:rPr>
          <w:rFonts w:cs="Times New Roman"/>
          <w:bCs/>
          <w:color w:val="000000"/>
          <w:szCs w:val="24"/>
        </w:rPr>
        <w:t xml:space="preserve"> </w:t>
      </w:r>
      <w:r w:rsidR="00FE6344">
        <w:rPr>
          <w:rFonts w:cs="Times New Roman"/>
          <w:bCs/>
          <w:color w:val="000000"/>
          <w:szCs w:val="24"/>
        </w:rPr>
        <w:t>implied warrant</w:t>
      </w:r>
      <w:r w:rsidR="004D7558">
        <w:rPr>
          <w:rFonts w:cs="Times New Roman"/>
          <w:bCs/>
          <w:color w:val="000000"/>
          <w:szCs w:val="24"/>
        </w:rPr>
        <w:t xml:space="preserve">ies </w:t>
      </w:r>
      <w:r w:rsidR="00242744">
        <w:rPr>
          <w:rFonts w:cs="Times New Roman"/>
          <w:bCs/>
          <w:color w:val="000000"/>
          <w:szCs w:val="24"/>
        </w:rPr>
        <w:t>for</w:t>
      </w:r>
      <w:r w:rsidR="004D7558">
        <w:rPr>
          <w:rFonts w:cs="Times New Roman"/>
          <w:bCs/>
          <w:color w:val="000000"/>
          <w:szCs w:val="24"/>
        </w:rPr>
        <w:t xml:space="preserve"> new residential construction</w:t>
      </w:r>
      <w:r w:rsidR="00202697">
        <w:rPr>
          <w:rFonts w:cs="Times New Roman"/>
          <w:bCs/>
          <w:color w:val="000000"/>
          <w:szCs w:val="24"/>
        </w:rPr>
        <w:t>. The</w:t>
      </w:r>
      <w:r w:rsidR="00487EA1">
        <w:rPr>
          <w:rFonts w:cs="Times New Roman"/>
          <w:bCs/>
          <w:color w:val="000000"/>
          <w:szCs w:val="24"/>
        </w:rPr>
        <w:t xml:space="preserve"> leading</w:t>
      </w:r>
      <w:r w:rsidRPr="004F109D">
        <w:rPr>
          <w:rFonts w:cs="Times New Roman"/>
          <w:bCs/>
          <w:color w:val="000000"/>
          <w:szCs w:val="24"/>
        </w:rPr>
        <w:t xml:space="preserve"> cases </w:t>
      </w:r>
      <w:r w:rsidR="00FE6344">
        <w:rPr>
          <w:rFonts w:cs="Times New Roman"/>
          <w:bCs/>
          <w:color w:val="000000"/>
          <w:szCs w:val="24"/>
        </w:rPr>
        <w:t>include</w:t>
      </w:r>
      <w:r w:rsidRPr="004F109D">
        <w:rPr>
          <w:rFonts w:cs="Times New Roman"/>
          <w:bCs/>
          <w:color w:val="000000"/>
          <w:szCs w:val="24"/>
        </w:rPr>
        <w:t>:</w:t>
      </w:r>
      <w:r w:rsidR="00830F35" w:rsidRPr="004F109D">
        <w:rPr>
          <w:rFonts w:cs="Times New Roman"/>
          <w:bCs/>
          <w:color w:val="000000"/>
          <w:szCs w:val="24"/>
        </w:rPr>
        <w:t xml:space="preserve"> </w:t>
      </w:r>
      <w:r w:rsidRPr="004F109D">
        <w:rPr>
          <w:i/>
          <w:szCs w:val="24"/>
        </w:rPr>
        <w:t>Wawak v.</w:t>
      </w:r>
      <w:r w:rsidRPr="004F109D">
        <w:rPr>
          <w:szCs w:val="24"/>
        </w:rPr>
        <w:t xml:space="preserve"> </w:t>
      </w:r>
      <w:r w:rsidRPr="004F109D">
        <w:rPr>
          <w:i/>
          <w:szCs w:val="24"/>
        </w:rPr>
        <w:t>Stewart</w:t>
      </w:r>
      <w:r w:rsidRPr="004F109D">
        <w:rPr>
          <w:szCs w:val="24"/>
        </w:rPr>
        <w:t xml:space="preserve">, 449 S.W.2d 922 (Ark. 1970); </w:t>
      </w:r>
      <w:r w:rsidRPr="004F109D">
        <w:rPr>
          <w:i/>
          <w:szCs w:val="24"/>
        </w:rPr>
        <w:t>Wingfield v. Page</w:t>
      </w:r>
      <w:r w:rsidRPr="004F109D">
        <w:rPr>
          <w:szCs w:val="24"/>
        </w:rPr>
        <w:t xml:space="preserve">, 644 S.W.2d 940 (Ark. 1983); </w:t>
      </w:r>
      <w:r w:rsidRPr="00242744">
        <w:rPr>
          <w:b/>
          <w:bCs/>
          <w:i/>
          <w:szCs w:val="24"/>
        </w:rPr>
        <w:t>Bullington v. Palangio</w:t>
      </w:r>
      <w:r w:rsidRPr="00242744">
        <w:rPr>
          <w:b/>
          <w:bCs/>
          <w:szCs w:val="24"/>
        </w:rPr>
        <w:t>, 45 S.W.3d 834 (Ark. 2001)</w:t>
      </w:r>
      <w:r w:rsidR="00830F35" w:rsidRPr="004F109D">
        <w:rPr>
          <w:szCs w:val="24"/>
        </w:rPr>
        <w:t>; Morris v. Rush, 69 S.W.3d 876 (Ark. Ct. App. 2002); Crumpacker v. Gary Reed Construction, Inc., 2010 Ark. App. 179 (2010)</w:t>
      </w:r>
      <w:r w:rsidRPr="004F109D">
        <w:rPr>
          <w:szCs w:val="24"/>
        </w:rPr>
        <w:t>.</w:t>
      </w:r>
      <w:r w:rsidR="003B1FBB">
        <w:rPr>
          <w:szCs w:val="24"/>
        </w:rPr>
        <w:t xml:space="preserve"> </w:t>
      </w:r>
      <w:r w:rsidR="00A82436">
        <w:rPr>
          <w:szCs w:val="24"/>
        </w:rPr>
        <w:t xml:space="preserve">To get you started, </w:t>
      </w:r>
      <w:r w:rsidR="00C06544">
        <w:rPr>
          <w:szCs w:val="24"/>
        </w:rPr>
        <w:t>a chart summarizing several foundational cases is being provided along with this exercise assignment</w:t>
      </w:r>
      <w:r w:rsidR="00242744">
        <w:rPr>
          <w:szCs w:val="24"/>
        </w:rPr>
        <w:t xml:space="preserve"> in the “Residential warranty</w:t>
      </w:r>
      <w:r w:rsidR="00913A55">
        <w:rPr>
          <w:szCs w:val="24"/>
        </w:rPr>
        <w:t xml:space="preserve"> exercise”</w:t>
      </w:r>
      <w:r w:rsidR="00242744">
        <w:rPr>
          <w:szCs w:val="24"/>
        </w:rPr>
        <w:t xml:space="preserve"> folder on Blackboard</w:t>
      </w:r>
      <w:r w:rsidR="00C06544">
        <w:rPr>
          <w:szCs w:val="24"/>
        </w:rPr>
        <w:t xml:space="preserve">. </w:t>
      </w:r>
      <w:r w:rsidR="00487EA1">
        <w:rPr>
          <w:szCs w:val="24"/>
        </w:rPr>
        <w:t xml:space="preserve">While you can rely on the chart for the basic principles, </w:t>
      </w:r>
      <w:r w:rsidR="00487EA1" w:rsidRPr="00913A55">
        <w:rPr>
          <w:b/>
          <w:bCs/>
          <w:szCs w:val="24"/>
        </w:rPr>
        <w:t>you should</w:t>
      </w:r>
      <w:r w:rsidR="003B1FBB" w:rsidRPr="00913A55">
        <w:rPr>
          <w:b/>
          <w:bCs/>
          <w:szCs w:val="24"/>
        </w:rPr>
        <w:t xml:space="preserve"> read </w:t>
      </w:r>
      <w:r w:rsidR="003B1FBB" w:rsidRPr="00913A55">
        <w:rPr>
          <w:b/>
          <w:bCs/>
          <w:i/>
          <w:szCs w:val="24"/>
        </w:rPr>
        <w:t>Bullington v. Palangio</w:t>
      </w:r>
      <w:r w:rsidR="00A82436" w:rsidRPr="00913A55">
        <w:rPr>
          <w:b/>
          <w:bCs/>
          <w:i/>
          <w:szCs w:val="24"/>
        </w:rPr>
        <w:t xml:space="preserve"> </w:t>
      </w:r>
      <w:r w:rsidR="004D7558" w:rsidRPr="00913A55">
        <w:rPr>
          <w:b/>
          <w:bCs/>
          <w:iCs/>
          <w:szCs w:val="24"/>
        </w:rPr>
        <w:t>carefully</w:t>
      </w:r>
      <w:r w:rsidR="00A82436" w:rsidRPr="00913A55">
        <w:rPr>
          <w:b/>
          <w:bCs/>
          <w:iCs/>
          <w:szCs w:val="24"/>
        </w:rPr>
        <w:t xml:space="preserve"> in its entirety because that case</w:t>
      </w:r>
      <w:r w:rsidR="003B1FBB" w:rsidRPr="00913A55">
        <w:rPr>
          <w:b/>
          <w:bCs/>
          <w:szCs w:val="24"/>
        </w:rPr>
        <w:t xml:space="preserve"> bears most directly on the issue</w:t>
      </w:r>
      <w:r w:rsidR="004D7558" w:rsidRPr="00913A55">
        <w:rPr>
          <w:b/>
          <w:bCs/>
          <w:szCs w:val="24"/>
        </w:rPr>
        <w:t>s</w:t>
      </w:r>
      <w:r w:rsidR="003B1FBB" w:rsidRPr="00913A55">
        <w:rPr>
          <w:b/>
          <w:bCs/>
          <w:szCs w:val="24"/>
        </w:rPr>
        <w:t xml:space="preserve"> involved.</w:t>
      </w:r>
    </w:p>
    <w:p w14:paraId="3AC8E7BB" w14:textId="77777777" w:rsidR="00C55B5F" w:rsidRPr="004F109D" w:rsidRDefault="00C55B5F" w:rsidP="00AF3CD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Cs w:val="24"/>
        </w:rPr>
      </w:pPr>
    </w:p>
    <w:p w14:paraId="486ED111" w14:textId="79BCE7E6" w:rsidR="00C55B5F" w:rsidRDefault="00C55B5F" w:rsidP="00AF3CD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Cs w:val="24"/>
        </w:rPr>
      </w:pPr>
      <w:r w:rsidRPr="004F109D">
        <w:rPr>
          <w:rFonts w:cs="Times New Roman"/>
          <w:bCs/>
          <w:color w:val="000000"/>
          <w:szCs w:val="24"/>
        </w:rPr>
        <w:tab/>
      </w:r>
      <w:r w:rsidR="00FE6344">
        <w:rPr>
          <w:szCs w:val="24"/>
        </w:rPr>
        <w:t>O</w:t>
      </w:r>
      <w:r w:rsidRPr="004F109D">
        <w:rPr>
          <w:szCs w:val="24"/>
        </w:rPr>
        <w:t xml:space="preserve">ur client is an Arkansas </w:t>
      </w:r>
      <w:r w:rsidR="00FE6344" w:rsidRPr="004F109D">
        <w:rPr>
          <w:szCs w:val="24"/>
        </w:rPr>
        <w:t>homebuilder</w:t>
      </w:r>
      <w:r w:rsidRPr="004F109D">
        <w:rPr>
          <w:szCs w:val="24"/>
        </w:rPr>
        <w:t xml:space="preserve"> who is concerned about the warranties implied into residential building contracts under A</w:t>
      </w:r>
      <w:r w:rsidR="00FE6344">
        <w:rPr>
          <w:szCs w:val="24"/>
        </w:rPr>
        <w:t>rkansas law</w:t>
      </w:r>
      <w:r w:rsidR="0068570F">
        <w:rPr>
          <w:szCs w:val="24"/>
        </w:rPr>
        <w:t xml:space="preserve">, which the client has heard about repeatedly </w:t>
      </w:r>
      <w:r w:rsidR="004B2E22">
        <w:rPr>
          <w:szCs w:val="24"/>
        </w:rPr>
        <w:t>through</w:t>
      </w:r>
      <w:r w:rsidR="0068570F">
        <w:rPr>
          <w:szCs w:val="24"/>
        </w:rPr>
        <w:t xml:space="preserve"> various industry</w:t>
      </w:r>
      <w:r w:rsidR="004B2E22">
        <w:rPr>
          <w:szCs w:val="24"/>
        </w:rPr>
        <w:t xml:space="preserve"> groups and conferences</w:t>
      </w:r>
      <w:r w:rsidR="00FE6344">
        <w:rPr>
          <w:szCs w:val="24"/>
        </w:rPr>
        <w:t xml:space="preserve">.  The client wants </w:t>
      </w:r>
      <w:r w:rsidRPr="004F109D">
        <w:rPr>
          <w:szCs w:val="24"/>
        </w:rPr>
        <w:t>our advice on the extent to which those warranties may be excluded or limite</w:t>
      </w:r>
      <w:r w:rsidR="00FE6344">
        <w:rPr>
          <w:szCs w:val="24"/>
        </w:rPr>
        <w:t xml:space="preserve">d by appropriate </w:t>
      </w:r>
      <w:r w:rsidR="002426C0">
        <w:rPr>
          <w:szCs w:val="24"/>
        </w:rPr>
        <w:t>contract language</w:t>
      </w:r>
      <w:r w:rsidR="00FE6344">
        <w:rPr>
          <w:szCs w:val="24"/>
        </w:rPr>
        <w:t xml:space="preserve">. </w:t>
      </w:r>
      <w:r w:rsidR="00487EA1">
        <w:rPr>
          <w:szCs w:val="24"/>
        </w:rPr>
        <w:t xml:space="preserve">While the client </w:t>
      </w:r>
      <w:r w:rsidR="002426C0">
        <w:rPr>
          <w:szCs w:val="24"/>
        </w:rPr>
        <w:t>worries</w:t>
      </w:r>
      <w:r w:rsidR="00487EA1">
        <w:rPr>
          <w:szCs w:val="24"/>
        </w:rPr>
        <w:t xml:space="preserve"> about the risks that the implied warranties create, the client is also mindful that the home building business is competitive and that many homebuilders </w:t>
      </w:r>
      <w:r w:rsidR="002426C0">
        <w:rPr>
          <w:szCs w:val="24"/>
        </w:rPr>
        <w:t xml:space="preserve">offer express warranties as a marketing device. </w:t>
      </w:r>
      <w:r w:rsidR="00FE6344">
        <w:rPr>
          <w:szCs w:val="24"/>
        </w:rPr>
        <w:t>How might we d</w:t>
      </w:r>
      <w:r w:rsidRPr="004F109D">
        <w:rPr>
          <w:szCs w:val="24"/>
        </w:rPr>
        <w:t>raft a provision for the client’s standard contract form that will be effective to</w:t>
      </w:r>
      <w:r w:rsidR="002426C0">
        <w:rPr>
          <w:szCs w:val="24"/>
        </w:rPr>
        <w:t xml:space="preserve"> disclaim or</w:t>
      </w:r>
      <w:r w:rsidRPr="004F109D">
        <w:rPr>
          <w:szCs w:val="24"/>
        </w:rPr>
        <w:t xml:space="preserve"> limit the implied warranties, but that will not frighten away prospective buyers by suggesting that the client does not build quality houses or</w:t>
      </w:r>
      <w:r w:rsidR="00981F07">
        <w:rPr>
          <w:szCs w:val="24"/>
        </w:rPr>
        <w:t xml:space="preserve"> does not stand behind its work?</w:t>
      </w:r>
      <w:r w:rsidRPr="004F109D">
        <w:rPr>
          <w:szCs w:val="24"/>
        </w:rPr>
        <w:t xml:space="preserve"> </w:t>
      </w:r>
      <w:r w:rsidR="00FE6344">
        <w:rPr>
          <w:szCs w:val="24"/>
        </w:rPr>
        <w:t xml:space="preserve">How effective do you believe a </w:t>
      </w:r>
      <w:r w:rsidRPr="004F109D">
        <w:rPr>
          <w:szCs w:val="24"/>
        </w:rPr>
        <w:t xml:space="preserve">disclaimer provision </w:t>
      </w:r>
      <w:r w:rsidR="00FE6344">
        <w:rPr>
          <w:szCs w:val="24"/>
        </w:rPr>
        <w:t>could be to limit</w:t>
      </w:r>
      <w:r w:rsidRPr="004F109D">
        <w:rPr>
          <w:szCs w:val="24"/>
        </w:rPr>
        <w:t xml:space="preserve"> </w:t>
      </w:r>
      <w:r w:rsidR="00FE6344">
        <w:rPr>
          <w:szCs w:val="24"/>
        </w:rPr>
        <w:t>the client’s warranty liability?</w:t>
      </w:r>
      <w:r w:rsidRPr="004F109D">
        <w:rPr>
          <w:szCs w:val="24"/>
        </w:rPr>
        <w:t xml:space="preserve"> </w:t>
      </w:r>
      <w:r w:rsidR="00FE6344">
        <w:rPr>
          <w:szCs w:val="24"/>
        </w:rPr>
        <w:t>What</w:t>
      </w:r>
      <w:r w:rsidRPr="004F109D">
        <w:rPr>
          <w:szCs w:val="24"/>
        </w:rPr>
        <w:t xml:space="preserve"> concerns </w:t>
      </w:r>
      <w:r w:rsidR="00FE6344">
        <w:rPr>
          <w:szCs w:val="24"/>
        </w:rPr>
        <w:t xml:space="preserve">do </w:t>
      </w:r>
      <w:r w:rsidRPr="004F109D">
        <w:rPr>
          <w:szCs w:val="24"/>
        </w:rPr>
        <w:t xml:space="preserve">you have about how a court might interpret or apply </w:t>
      </w:r>
      <w:r w:rsidR="002426C0">
        <w:rPr>
          <w:szCs w:val="24"/>
        </w:rPr>
        <w:t>a</w:t>
      </w:r>
      <w:r w:rsidRPr="004F109D">
        <w:rPr>
          <w:szCs w:val="24"/>
        </w:rPr>
        <w:t xml:space="preserve"> disclaimer in light of the Arkansas cases</w:t>
      </w:r>
      <w:r w:rsidR="00FE6344">
        <w:rPr>
          <w:szCs w:val="24"/>
        </w:rPr>
        <w:t>?</w:t>
      </w:r>
      <w:r w:rsidR="004D7558">
        <w:rPr>
          <w:szCs w:val="24"/>
        </w:rPr>
        <w:t xml:space="preserve"> The ideal solution will be to provide to the client a carefully crafted and limited express warranty.</w:t>
      </w:r>
    </w:p>
    <w:p w14:paraId="3EF9EBAD" w14:textId="1350BA83" w:rsidR="00C74A38" w:rsidRDefault="00C74A38" w:rsidP="00AF3CD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1B0FE220" w14:textId="567470DF" w:rsidR="00C74A38" w:rsidRDefault="00C74A38" w:rsidP="00AF3CD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ab/>
        <w:t xml:space="preserve">After a </w:t>
      </w:r>
      <w:r w:rsidR="00DB0795">
        <w:rPr>
          <w:szCs w:val="24"/>
        </w:rPr>
        <w:t>preliminary</w:t>
      </w:r>
      <w:r>
        <w:rPr>
          <w:szCs w:val="24"/>
        </w:rPr>
        <w:t xml:space="preserve"> discussion </w:t>
      </w:r>
      <w:r w:rsidR="004D7558">
        <w:rPr>
          <w:szCs w:val="24"/>
        </w:rPr>
        <w:t xml:space="preserve">of this exercise </w:t>
      </w:r>
      <w:r>
        <w:rPr>
          <w:szCs w:val="24"/>
        </w:rPr>
        <w:t xml:space="preserve">with the entire class, </w:t>
      </w:r>
      <w:r w:rsidR="005C0F4B">
        <w:rPr>
          <w:szCs w:val="24"/>
        </w:rPr>
        <w:t xml:space="preserve">I will ask you to break into small groups </w:t>
      </w:r>
      <w:r>
        <w:rPr>
          <w:szCs w:val="24"/>
        </w:rPr>
        <w:t xml:space="preserve">to work on a draft of a limited, express warranty provision to recommend to the client. We will reassemble for a wrap-up discussion. </w:t>
      </w:r>
      <w:r w:rsidR="002426C0">
        <w:rPr>
          <w:szCs w:val="24"/>
        </w:rPr>
        <w:t>You do not necessarily need to agree on c</w:t>
      </w:r>
      <w:r>
        <w:rPr>
          <w:szCs w:val="24"/>
        </w:rPr>
        <w:t>omplete, final language, but each group should at least have a solid working outline of a provision to discuss with the entire class.</w:t>
      </w:r>
      <w:r w:rsidR="004D7558">
        <w:rPr>
          <w:szCs w:val="24"/>
        </w:rPr>
        <w:t xml:space="preserve"> </w:t>
      </w:r>
      <w:r w:rsidR="00E479D3">
        <w:rPr>
          <w:szCs w:val="24"/>
        </w:rPr>
        <w:t xml:space="preserve">Each group </w:t>
      </w:r>
      <w:r w:rsidR="007314CB">
        <w:rPr>
          <w:szCs w:val="24"/>
        </w:rPr>
        <w:t>may either</w:t>
      </w:r>
      <w:r w:rsidR="00E479D3">
        <w:rPr>
          <w:szCs w:val="24"/>
        </w:rPr>
        <w:t xml:space="preserve"> </w:t>
      </w:r>
      <w:r w:rsidR="004D7558">
        <w:rPr>
          <w:szCs w:val="24"/>
        </w:rPr>
        <w:t xml:space="preserve">designate one or more spokespersons or </w:t>
      </w:r>
      <w:r w:rsidR="007314CB">
        <w:rPr>
          <w:szCs w:val="24"/>
        </w:rPr>
        <w:t>may</w:t>
      </w:r>
      <w:r w:rsidR="004D7558">
        <w:rPr>
          <w:szCs w:val="24"/>
        </w:rPr>
        <w:t xml:space="preserve"> have all group members participate in the presentation to the class.</w:t>
      </w:r>
    </w:p>
    <w:p w14:paraId="00801113" w14:textId="77777777" w:rsidR="00EB67FE" w:rsidRDefault="00EB67FE" w:rsidP="00AF3CD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5C6D4963" w14:textId="49521A76" w:rsidR="00EB67FE" w:rsidRDefault="00EB67FE" w:rsidP="00AF3CD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ab/>
      </w:r>
    </w:p>
    <w:sectPr w:rsidR="00EB67FE" w:rsidSect="00133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747AF"/>
    <w:multiLevelType w:val="hybridMultilevel"/>
    <w:tmpl w:val="A6D25DAC"/>
    <w:lvl w:ilvl="0" w:tplc="81F2C6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AA6BF4">
      <w:numFmt w:val="bullet"/>
      <w:lvlText w:val="-"/>
      <w:lvlJc w:val="left"/>
      <w:pPr>
        <w:tabs>
          <w:tab w:val="num" w:pos="2232"/>
        </w:tabs>
        <w:ind w:left="2232" w:hanging="432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380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D7"/>
    <w:rsid w:val="00012BC7"/>
    <w:rsid w:val="00093136"/>
    <w:rsid w:val="00127872"/>
    <w:rsid w:val="00133684"/>
    <w:rsid w:val="0019514D"/>
    <w:rsid w:val="001D53EB"/>
    <w:rsid w:val="001F6F39"/>
    <w:rsid w:val="00202697"/>
    <w:rsid w:val="002047E4"/>
    <w:rsid w:val="002426C0"/>
    <w:rsid w:val="00242744"/>
    <w:rsid w:val="0024336E"/>
    <w:rsid w:val="00245948"/>
    <w:rsid w:val="00262939"/>
    <w:rsid w:val="00267F2C"/>
    <w:rsid w:val="002C0603"/>
    <w:rsid w:val="002D0525"/>
    <w:rsid w:val="002E2C07"/>
    <w:rsid w:val="002E7CAC"/>
    <w:rsid w:val="00300DCA"/>
    <w:rsid w:val="00314217"/>
    <w:rsid w:val="00336997"/>
    <w:rsid w:val="0035146B"/>
    <w:rsid w:val="00382BD0"/>
    <w:rsid w:val="003A11F1"/>
    <w:rsid w:val="003B198B"/>
    <w:rsid w:val="003B1FBB"/>
    <w:rsid w:val="003B678A"/>
    <w:rsid w:val="003C76BA"/>
    <w:rsid w:val="003E3405"/>
    <w:rsid w:val="003F4E12"/>
    <w:rsid w:val="00426413"/>
    <w:rsid w:val="00487EA1"/>
    <w:rsid w:val="004B2E22"/>
    <w:rsid w:val="004B6129"/>
    <w:rsid w:val="004C1C86"/>
    <w:rsid w:val="004D3401"/>
    <w:rsid w:val="004D4D75"/>
    <w:rsid w:val="004D7558"/>
    <w:rsid w:val="004F109D"/>
    <w:rsid w:val="00512D23"/>
    <w:rsid w:val="0053495A"/>
    <w:rsid w:val="005A5F4A"/>
    <w:rsid w:val="005C0F4B"/>
    <w:rsid w:val="00657948"/>
    <w:rsid w:val="00664FBB"/>
    <w:rsid w:val="0068570F"/>
    <w:rsid w:val="00692202"/>
    <w:rsid w:val="006930FE"/>
    <w:rsid w:val="006B7EDC"/>
    <w:rsid w:val="007314CB"/>
    <w:rsid w:val="007447C4"/>
    <w:rsid w:val="0077060F"/>
    <w:rsid w:val="00782B26"/>
    <w:rsid w:val="00791FC8"/>
    <w:rsid w:val="00795C8B"/>
    <w:rsid w:val="007B2ED9"/>
    <w:rsid w:val="007C2553"/>
    <w:rsid w:val="007D4298"/>
    <w:rsid w:val="007F4F62"/>
    <w:rsid w:val="007F7116"/>
    <w:rsid w:val="00830F35"/>
    <w:rsid w:val="008357CE"/>
    <w:rsid w:val="00836F21"/>
    <w:rsid w:val="00844741"/>
    <w:rsid w:val="00886924"/>
    <w:rsid w:val="008C38B1"/>
    <w:rsid w:val="008F5E1F"/>
    <w:rsid w:val="009046A2"/>
    <w:rsid w:val="00913A55"/>
    <w:rsid w:val="009247FF"/>
    <w:rsid w:val="00940890"/>
    <w:rsid w:val="00981F07"/>
    <w:rsid w:val="009E27FF"/>
    <w:rsid w:val="00A02035"/>
    <w:rsid w:val="00A03026"/>
    <w:rsid w:val="00A06D2C"/>
    <w:rsid w:val="00A50989"/>
    <w:rsid w:val="00A564EC"/>
    <w:rsid w:val="00A5764F"/>
    <w:rsid w:val="00A82436"/>
    <w:rsid w:val="00AA2693"/>
    <w:rsid w:val="00AF3CD7"/>
    <w:rsid w:val="00B13409"/>
    <w:rsid w:val="00B31A38"/>
    <w:rsid w:val="00B46B34"/>
    <w:rsid w:val="00B8377F"/>
    <w:rsid w:val="00B9338A"/>
    <w:rsid w:val="00BF2BFB"/>
    <w:rsid w:val="00C041D3"/>
    <w:rsid w:val="00C06544"/>
    <w:rsid w:val="00C55B5F"/>
    <w:rsid w:val="00C74A38"/>
    <w:rsid w:val="00D244D5"/>
    <w:rsid w:val="00D65330"/>
    <w:rsid w:val="00D904EB"/>
    <w:rsid w:val="00D90903"/>
    <w:rsid w:val="00DA5798"/>
    <w:rsid w:val="00DA781E"/>
    <w:rsid w:val="00DB0795"/>
    <w:rsid w:val="00E1022E"/>
    <w:rsid w:val="00E26061"/>
    <w:rsid w:val="00E32402"/>
    <w:rsid w:val="00E46ABC"/>
    <w:rsid w:val="00E479D3"/>
    <w:rsid w:val="00E50771"/>
    <w:rsid w:val="00E53999"/>
    <w:rsid w:val="00EB334D"/>
    <w:rsid w:val="00EB67FE"/>
    <w:rsid w:val="00EE32C8"/>
    <w:rsid w:val="00F43FA5"/>
    <w:rsid w:val="00F64B67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3280"/>
  <w15:docId w15:val="{52AB8155-DC57-48A1-967B-BFC496F3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4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55B5F"/>
    <w:rPr>
      <w:color w:val="0000FF"/>
      <w:u w:val="single"/>
    </w:rPr>
  </w:style>
  <w:style w:type="table" w:styleId="TableGrid">
    <w:name w:val="Table Grid"/>
    <w:basedOn w:val="TableNormal"/>
    <w:uiPriority w:val="59"/>
    <w:rsid w:val="00C74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 - Fayetteville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Circo</dc:creator>
  <cp:lastModifiedBy>Carl J. Circo</cp:lastModifiedBy>
  <cp:revision>4</cp:revision>
  <cp:lastPrinted>2018-03-27T19:17:00Z</cp:lastPrinted>
  <dcterms:created xsi:type="dcterms:W3CDTF">2024-05-24T19:18:00Z</dcterms:created>
  <dcterms:modified xsi:type="dcterms:W3CDTF">2024-05-24T19:20:00Z</dcterms:modified>
</cp:coreProperties>
</file>